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A3259">
      <w:pPr>
        <w:jc w:val="center"/>
        <w:rPr>
          <w:rFonts w:ascii="仿宋_GB2312" w:eastAsia="仿宋_GB2312" w:cs="宋体"/>
          <w:kern w:val="0"/>
          <w:sz w:val="32"/>
          <w:szCs w:val="32"/>
          <w:lang w:val="zh-CN"/>
        </w:rPr>
      </w:pPr>
    </w:p>
    <w:p w14:paraId="757B43B4">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北京兴东方实业有限责任公司2024年</w:t>
      </w:r>
    </w:p>
    <w:p w14:paraId="5662EDF9">
      <w:pPr>
        <w:spacing w:line="560" w:lineRule="exact"/>
        <w:jc w:val="center"/>
        <w:rPr>
          <w:rFonts w:ascii="黑体" w:eastAsia="黑体"/>
          <w:b/>
          <w:sz w:val="44"/>
        </w:rPr>
      </w:pPr>
      <w:r>
        <w:rPr>
          <w:rFonts w:hint="eastAsia" w:ascii="方正小标宋简体" w:eastAsia="方正小标宋简体"/>
          <w:color w:val="000000"/>
          <w:sz w:val="36"/>
          <w:szCs w:val="36"/>
        </w:rPr>
        <w:t>部门预算信息公开</w:t>
      </w:r>
    </w:p>
    <w:p w14:paraId="462D8FAC">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6B6B520C">
      <w:pPr>
        <w:spacing w:line="240" w:lineRule="exact"/>
        <w:jc w:val="center"/>
        <w:rPr>
          <w:rFonts w:ascii="方正小标宋简体" w:eastAsia="方正小标宋简体"/>
          <w:color w:val="000000"/>
          <w:sz w:val="32"/>
          <w:szCs w:val="32"/>
        </w:rPr>
      </w:pPr>
    </w:p>
    <w:p w14:paraId="604CA86E">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2024年度部门预算情况说明</w:t>
      </w:r>
    </w:p>
    <w:p w14:paraId="70F6AD04">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一、部门情况说明</w:t>
      </w:r>
    </w:p>
    <w:p w14:paraId="4436CE5C">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14:paraId="6589B23B">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14:paraId="22587D61">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14:paraId="748756CE">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640AFEC6">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3678AE63">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2024年度部门预算报表</w:t>
      </w:r>
    </w:p>
    <w:p w14:paraId="106E47CA">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14:paraId="3F56FE0B">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14:paraId="6F3416D3">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14:paraId="43EE50FB">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14:paraId="1F22761F">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14:paraId="092DC3CC">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14:paraId="2F0483AF">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14:paraId="74F956DD">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14:paraId="4D39E5AB">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14:paraId="75DD4B09">
      <w:pPr>
        <w:numPr>
          <w:ilvl w:val="0"/>
          <w:numId w:val="1"/>
        </w:num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国有资本经营预算财政拨款支出表</w:t>
      </w:r>
    </w:p>
    <w:p w14:paraId="60682835">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14:paraId="52F907DF">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14:paraId="17A32805">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14:paraId="516DE07E">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十四、部门整体支出绩效目标表</w:t>
      </w:r>
    </w:p>
    <w:p w14:paraId="0CC65548">
      <w:pPr>
        <w:jc w:val="center"/>
        <w:rPr>
          <w:rFonts w:ascii="黑体" w:eastAsia="黑体"/>
          <w:b/>
          <w:sz w:val="36"/>
          <w:szCs w:val="36"/>
        </w:rPr>
      </w:pPr>
    </w:p>
    <w:p w14:paraId="10680046">
      <w:pPr>
        <w:jc w:val="center"/>
        <w:rPr>
          <w:rFonts w:ascii="黑体" w:eastAsia="黑体"/>
          <w:b/>
          <w:sz w:val="36"/>
          <w:szCs w:val="36"/>
        </w:rPr>
      </w:pPr>
    </w:p>
    <w:p w14:paraId="62AB7C22">
      <w:pPr>
        <w:jc w:val="center"/>
        <w:rPr>
          <w:rFonts w:ascii="黑体" w:eastAsia="黑体"/>
          <w:b/>
          <w:sz w:val="36"/>
          <w:szCs w:val="36"/>
        </w:rPr>
      </w:pPr>
    </w:p>
    <w:p w14:paraId="3A47C957">
      <w:pPr>
        <w:jc w:val="center"/>
        <w:rPr>
          <w:rFonts w:ascii="黑体" w:eastAsia="黑体"/>
          <w:b/>
          <w:sz w:val="36"/>
          <w:szCs w:val="36"/>
        </w:rPr>
      </w:pPr>
    </w:p>
    <w:p w14:paraId="2FCFC27E">
      <w:pPr>
        <w:jc w:val="center"/>
        <w:rPr>
          <w:rFonts w:ascii="黑体" w:eastAsia="黑体"/>
          <w:b/>
          <w:sz w:val="36"/>
          <w:szCs w:val="36"/>
        </w:rPr>
      </w:pPr>
    </w:p>
    <w:p w14:paraId="4FCD3B26">
      <w:pPr>
        <w:jc w:val="center"/>
        <w:rPr>
          <w:rFonts w:ascii="黑体" w:eastAsia="黑体"/>
          <w:b/>
          <w:sz w:val="36"/>
          <w:szCs w:val="36"/>
        </w:rPr>
      </w:pPr>
    </w:p>
    <w:p w14:paraId="59DDCAEF">
      <w:pPr>
        <w:jc w:val="center"/>
        <w:rPr>
          <w:rFonts w:ascii="黑体" w:eastAsia="黑体"/>
          <w:b/>
          <w:sz w:val="36"/>
          <w:szCs w:val="36"/>
        </w:rPr>
      </w:pPr>
    </w:p>
    <w:p w14:paraId="7052342B">
      <w:pPr>
        <w:jc w:val="center"/>
        <w:rPr>
          <w:rFonts w:ascii="黑体" w:eastAsia="黑体"/>
          <w:b/>
          <w:sz w:val="36"/>
          <w:szCs w:val="36"/>
        </w:rPr>
      </w:pPr>
    </w:p>
    <w:p w14:paraId="329D7D21">
      <w:pPr>
        <w:jc w:val="center"/>
        <w:rPr>
          <w:rFonts w:ascii="黑体" w:eastAsia="黑体"/>
          <w:b/>
          <w:sz w:val="36"/>
          <w:szCs w:val="36"/>
        </w:rPr>
      </w:pPr>
    </w:p>
    <w:p w14:paraId="0A0EA241">
      <w:pPr>
        <w:jc w:val="center"/>
        <w:rPr>
          <w:rFonts w:ascii="黑体" w:eastAsia="黑体"/>
          <w:b/>
          <w:sz w:val="36"/>
          <w:szCs w:val="36"/>
        </w:rPr>
      </w:pPr>
    </w:p>
    <w:p w14:paraId="4947E642">
      <w:pPr>
        <w:jc w:val="center"/>
        <w:rPr>
          <w:rFonts w:ascii="黑体" w:eastAsia="黑体"/>
          <w:b/>
          <w:sz w:val="36"/>
          <w:szCs w:val="36"/>
        </w:rPr>
      </w:pPr>
    </w:p>
    <w:p w14:paraId="6A3C9C71">
      <w:pPr>
        <w:jc w:val="center"/>
        <w:rPr>
          <w:rFonts w:ascii="黑体" w:eastAsia="黑体"/>
          <w:b/>
          <w:sz w:val="36"/>
          <w:szCs w:val="36"/>
        </w:rPr>
      </w:pPr>
    </w:p>
    <w:p w14:paraId="275245D2">
      <w:pPr>
        <w:jc w:val="center"/>
        <w:rPr>
          <w:rFonts w:ascii="黑体" w:eastAsia="黑体"/>
          <w:b/>
          <w:sz w:val="36"/>
          <w:szCs w:val="36"/>
        </w:rPr>
      </w:pPr>
    </w:p>
    <w:p w14:paraId="35491A4F">
      <w:pPr>
        <w:jc w:val="center"/>
        <w:rPr>
          <w:rFonts w:ascii="黑体" w:eastAsia="黑体"/>
          <w:b/>
          <w:sz w:val="36"/>
          <w:szCs w:val="36"/>
        </w:rPr>
      </w:pPr>
    </w:p>
    <w:p w14:paraId="63D8BBAF">
      <w:pPr>
        <w:jc w:val="center"/>
        <w:rPr>
          <w:rFonts w:ascii="黑体" w:eastAsia="黑体"/>
          <w:b/>
          <w:sz w:val="36"/>
          <w:szCs w:val="36"/>
        </w:rPr>
      </w:pPr>
    </w:p>
    <w:p w14:paraId="5250BA89">
      <w:pPr>
        <w:jc w:val="center"/>
        <w:rPr>
          <w:rFonts w:ascii="黑体" w:eastAsia="黑体"/>
          <w:b/>
          <w:sz w:val="36"/>
          <w:szCs w:val="36"/>
        </w:rPr>
      </w:pPr>
    </w:p>
    <w:p w14:paraId="3815D553">
      <w:pPr>
        <w:jc w:val="center"/>
        <w:rPr>
          <w:rFonts w:ascii="黑体" w:eastAsia="黑体"/>
          <w:b/>
          <w:sz w:val="36"/>
          <w:szCs w:val="36"/>
        </w:rPr>
      </w:pPr>
    </w:p>
    <w:p w14:paraId="1D784616">
      <w:pPr>
        <w:jc w:val="center"/>
        <w:rPr>
          <w:rFonts w:ascii="黑体" w:eastAsia="黑体"/>
          <w:b/>
          <w:sz w:val="36"/>
          <w:szCs w:val="36"/>
        </w:rPr>
      </w:pPr>
    </w:p>
    <w:p w14:paraId="666DD79C">
      <w:pPr>
        <w:jc w:val="center"/>
        <w:rPr>
          <w:rFonts w:ascii="黑体" w:eastAsia="黑体"/>
          <w:b/>
          <w:sz w:val="36"/>
          <w:szCs w:val="36"/>
        </w:rPr>
      </w:pPr>
    </w:p>
    <w:p w14:paraId="207DD9A3">
      <w:pPr>
        <w:ind w:firstLine="643" w:firstLineChars="200"/>
        <w:jc w:val="left"/>
        <w:rPr>
          <w:rFonts w:ascii="黑体" w:eastAsia="黑体"/>
          <w:b/>
          <w:sz w:val="32"/>
          <w:szCs w:val="32"/>
        </w:rPr>
      </w:pPr>
    </w:p>
    <w:p w14:paraId="553F5374">
      <w:pPr>
        <w:ind w:firstLine="643" w:firstLineChars="200"/>
        <w:jc w:val="left"/>
        <w:rPr>
          <w:rFonts w:ascii="黑体" w:eastAsia="黑体"/>
          <w:b/>
          <w:sz w:val="32"/>
          <w:szCs w:val="32"/>
        </w:rPr>
      </w:pPr>
      <w:r>
        <w:rPr>
          <w:rFonts w:hint="eastAsia" w:ascii="黑体" w:eastAsia="黑体"/>
          <w:b/>
          <w:sz w:val="32"/>
          <w:szCs w:val="32"/>
        </w:rPr>
        <w:t>一、部门情况说明</w:t>
      </w:r>
    </w:p>
    <w:p w14:paraId="441538F1">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rPr>
        <w:t>（一）部门性质、职责</w:t>
      </w:r>
    </w:p>
    <w:p w14:paraId="3476AA71">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北京市财政局、北京市国有资产管理局《关于授权北京兴东方实业有限责任公司经营管理所属单位国有资产的批复》（京国资农[1995]508号），北京兴东方实业有限责任公司经营管理所属企事业单位的国有资产。北京兴东方实业有限责任公司职责是做好自身的经营与发展的同时对离退休人员进行管理与服务，维护好离、退休人员的稳定，为和谐北京人文北京做出最大的努力。</w:t>
      </w:r>
    </w:p>
    <w:p w14:paraId="4344548D">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lang w:val="en-US" w:eastAsia="zh-CN"/>
        </w:rPr>
        <w:t>(二)</w:t>
      </w:r>
      <w:r>
        <w:rPr>
          <w:rFonts w:hint="eastAsia" w:ascii="楷体_GB2312" w:eastAsia="楷体_GB2312"/>
          <w:color w:val="000000"/>
          <w:sz w:val="32"/>
          <w:szCs w:val="32"/>
          <w:highlight w:val="none"/>
        </w:rPr>
        <w:t>机构设置情况</w:t>
      </w:r>
    </w:p>
    <w:p w14:paraId="61CF80F6">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兴东方实业有限责任公司内设机构一共2个部门，包含综合办公室和财务部；下属一家全额拨款事业单位，北京汽车集团有限公司离退休干部管理服务中心，主要负责管理和服务离退休干部，为离休及退休干部进行日常管理与服务，为离退休干部提供保障服务。</w:t>
      </w:r>
    </w:p>
    <w:p w14:paraId="0F93B463">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（三）人员编制及实有情况</w:t>
      </w:r>
    </w:p>
    <w:p w14:paraId="15559159">
      <w:pPr>
        <w:ind w:firstLine="640" w:firstLineChars="200"/>
        <w:rPr>
          <w:rFonts w:ascii="仿宋_GB2312" w:eastAsia="仿宋_GB2312"/>
          <w:sz w:val="32"/>
          <w:szCs w:val="32"/>
        </w:rPr>
      </w:pPr>
      <w:r>
        <w:rPr>
          <w:rFonts w:hint="eastAsia" w:ascii="仿宋_GB2312" w:eastAsia="仿宋_GB2312"/>
          <w:color w:val="000000"/>
          <w:sz w:val="32"/>
          <w:szCs w:val="32"/>
        </w:rPr>
        <w:t>北京兴东方实业有限责任公司单位行政编制0人，实际0人；</w:t>
      </w:r>
      <w:r>
        <w:rPr>
          <w:rFonts w:hint="eastAsia" w:ascii="仿宋_GB2312" w:eastAsia="仿宋_GB2312"/>
          <w:sz w:val="32"/>
          <w:szCs w:val="32"/>
        </w:rPr>
        <w:t>事业编制7人，实际7人；聘用人员（公安系统文职人员、公安系统辅警人员、公安系统交通协管员、法院聘任书记员、聘用制司法警察、其他聘用人员--临时工）0人。</w:t>
      </w:r>
    </w:p>
    <w:p w14:paraId="0A384009">
      <w:pPr>
        <w:ind w:firstLine="640" w:firstLineChars="200"/>
        <w:rPr>
          <w:rFonts w:ascii="仿宋_GB2312" w:eastAsia="仿宋_GB2312"/>
          <w:sz w:val="32"/>
          <w:szCs w:val="32"/>
        </w:rPr>
      </w:pPr>
      <w:r>
        <w:rPr>
          <w:rFonts w:hint="eastAsia" w:ascii="仿宋_GB2312" w:eastAsia="仿宋_GB2312"/>
          <w:sz w:val="32"/>
          <w:szCs w:val="32"/>
        </w:rPr>
        <w:t>离退休人员168人，其中：离休8人，退休160人。</w:t>
      </w:r>
    </w:p>
    <w:p w14:paraId="5D5C4AE5">
      <w:pPr>
        <w:ind w:firstLine="555"/>
        <w:rPr>
          <w:rFonts w:ascii="黑体" w:eastAsia="黑体"/>
          <w:sz w:val="32"/>
          <w:szCs w:val="32"/>
        </w:rPr>
      </w:pPr>
      <w:r>
        <w:rPr>
          <w:rFonts w:hint="eastAsia" w:ascii="黑体" w:eastAsia="黑体"/>
          <w:sz w:val="32"/>
          <w:szCs w:val="32"/>
        </w:rPr>
        <w:t>二、</w:t>
      </w:r>
      <w:r>
        <w:rPr>
          <w:rFonts w:hint="eastAsia" w:ascii="黑体" w:eastAsia="黑体"/>
          <w:b/>
          <w:sz w:val="32"/>
          <w:szCs w:val="32"/>
        </w:rPr>
        <w:t>收入预算说明</w:t>
      </w:r>
    </w:p>
    <w:p w14:paraId="0DEC0421">
      <w:pPr>
        <w:ind w:firstLine="640" w:firstLineChars="200"/>
        <w:rPr>
          <w:rFonts w:ascii="仿宋_GB2312" w:eastAsia="仿宋_GB2312"/>
          <w:sz w:val="32"/>
          <w:szCs w:val="32"/>
        </w:rPr>
      </w:pPr>
      <w:r>
        <w:rPr>
          <w:rFonts w:hint="eastAsia" w:ascii="仿宋_GB2312" w:eastAsia="仿宋_GB2312"/>
          <w:sz w:val="32"/>
          <w:szCs w:val="32"/>
        </w:rPr>
        <w:t>2024年收入预算991.67万元，比2023年1015.81万元减少24.14万元，</w:t>
      </w:r>
      <w:r>
        <w:rPr>
          <w:rFonts w:hint="eastAsia" w:ascii="仿宋_GB2312" w:eastAsia="仿宋_GB2312"/>
          <w:sz w:val="32"/>
          <w:szCs w:val="32"/>
          <w:highlight w:val="none"/>
        </w:rPr>
        <w:t>减少</w:t>
      </w:r>
      <w:r>
        <w:rPr>
          <w:rFonts w:hint="eastAsia" w:ascii="仿宋_GB2312" w:hAnsi="Times New Roman" w:eastAsia="仿宋_GB2312" w:cs="Droid Sans"/>
          <w:kern w:val="2"/>
          <w:sz w:val="32"/>
          <w:szCs w:val="32"/>
          <w:highlight w:val="none"/>
          <w:lang w:val="en-US" w:eastAsia="zh-CN" w:bidi="ar-SA"/>
        </w:rPr>
        <w:t>2.4%。原因是我</w:t>
      </w:r>
      <w:r>
        <w:rPr>
          <w:rFonts w:hint="eastAsia" w:ascii="仿宋_GB2312" w:eastAsia="仿宋_GB2312" w:cs="Droid Sans"/>
          <w:kern w:val="2"/>
          <w:sz w:val="32"/>
          <w:szCs w:val="32"/>
          <w:highlight w:val="none"/>
          <w:lang w:val="en-US" w:eastAsia="zh-CN" w:bidi="ar-SA"/>
        </w:rPr>
        <w:t>部门</w:t>
      </w:r>
      <w:r>
        <w:rPr>
          <w:rFonts w:hint="eastAsia" w:ascii="仿宋_GB2312" w:hAnsi="Times New Roman" w:eastAsia="仿宋_GB2312" w:cs="Droid Sans"/>
          <w:kern w:val="2"/>
          <w:sz w:val="32"/>
          <w:szCs w:val="32"/>
          <w:highlight w:val="none"/>
          <w:lang w:val="en-US" w:eastAsia="zh-CN" w:bidi="ar-SA"/>
        </w:rPr>
        <w:t>按照过紧日子的要求，继续推进节俭经费。</w:t>
      </w:r>
      <w:r>
        <w:rPr>
          <w:rFonts w:hint="eastAsia" w:ascii="仿宋_GB2312" w:eastAsia="仿宋_GB2312"/>
          <w:sz w:val="32"/>
          <w:szCs w:val="32"/>
          <w:highlight w:val="none"/>
        </w:rPr>
        <w:t>其中：本年财</w:t>
      </w:r>
      <w:r>
        <w:rPr>
          <w:rFonts w:hint="eastAsia" w:ascii="仿宋_GB2312" w:eastAsia="仿宋_GB2312"/>
          <w:sz w:val="32"/>
          <w:szCs w:val="32"/>
        </w:rPr>
        <w:t>政拨款收入991.67万元,比2023年1015.81万元减少24.14万元；本年其他资金收入0万元,与2023年持平；上年结转结余资金0万元,与2023年持平。</w:t>
      </w:r>
    </w:p>
    <w:p w14:paraId="7F91D4D5">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（一）本年财政拨款收入 991.67万元</w:t>
      </w:r>
    </w:p>
    <w:p w14:paraId="5CCAA3D7">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1、一般公共预算拨款收入991.67万元。</w:t>
      </w:r>
    </w:p>
    <w:p w14:paraId="53E3774A">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2、政府性基金预算拨款收入0万元。</w:t>
      </w:r>
    </w:p>
    <w:p w14:paraId="5DCB44E7">
      <w:pPr>
        <w:spacing w:line="560" w:lineRule="exact"/>
        <w:ind w:firstLine="640" w:firstLineChars="200"/>
      </w:pPr>
      <w:r>
        <w:rPr>
          <w:rFonts w:hint="eastAsia" w:ascii="仿宋_GB2312" w:eastAsia="仿宋_GB2312"/>
          <w:color w:val="000000"/>
          <w:sz w:val="32"/>
          <w:szCs w:val="32"/>
        </w:rPr>
        <w:t xml:space="preserve">3、国有资本经营预算拨款收入0万元。  </w:t>
      </w:r>
    </w:p>
    <w:p w14:paraId="009CBBD5">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（二）本年其他资金收入0万元。</w:t>
      </w:r>
    </w:p>
    <w:p w14:paraId="6A753891">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4、财政专户管理资金收入0万元。</w:t>
      </w:r>
    </w:p>
    <w:p w14:paraId="6954161F">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5、事业收入0万元。</w:t>
      </w:r>
    </w:p>
    <w:p w14:paraId="11108386">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6、上级补助收入0万元。</w:t>
      </w:r>
    </w:p>
    <w:p w14:paraId="7D88E9C0">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7、附属单位上缴收入0万元。</w:t>
      </w:r>
    </w:p>
    <w:p w14:paraId="1C0958A4">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8、事业单位经营收入0万元。</w:t>
      </w:r>
    </w:p>
    <w:p w14:paraId="1FC9A27C">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9、其他收入0万元。</w:t>
      </w:r>
    </w:p>
    <w:p w14:paraId="30F3AAE2">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（三）上年结转结余0万元。</w:t>
      </w:r>
    </w:p>
    <w:p w14:paraId="44D36308">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10、上年结转结余0万元。</w:t>
      </w:r>
    </w:p>
    <w:p w14:paraId="6CA25749">
      <w:pPr>
        <w:ind w:firstLine="555"/>
      </w:pPr>
      <w:r>
        <w:drawing>
          <wp:inline distT="0" distB="0" distL="114300" distR="114300">
            <wp:extent cx="3634740" cy="2282825"/>
            <wp:effectExtent l="4445" t="4445" r="18415" b="1778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BE414D8">
      <w:pPr>
        <w:ind w:firstLine="555"/>
        <w:rPr>
          <w:rFonts w:ascii="黑体" w:eastAsia="黑体"/>
          <w:sz w:val="32"/>
          <w:szCs w:val="32"/>
        </w:rPr>
      </w:pPr>
      <w:r>
        <w:rPr>
          <w:rFonts w:hint="eastAsia" w:ascii="黑体" w:eastAsia="黑体"/>
          <w:sz w:val="32"/>
          <w:szCs w:val="32"/>
        </w:rPr>
        <w:t>三、</w:t>
      </w:r>
      <w:r>
        <w:rPr>
          <w:rFonts w:hint="eastAsia" w:ascii="黑体" w:eastAsia="黑体"/>
          <w:b/>
          <w:sz w:val="32"/>
          <w:szCs w:val="32"/>
        </w:rPr>
        <w:t>支出预算说明</w:t>
      </w:r>
    </w:p>
    <w:p w14:paraId="3E2027AC">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2024年支出预算</w:t>
      </w:r>
      <w:r>
        <w:rPr>
          <w:rFonts w:hint="eastAsia" w:ascii="仿宋_GB2312" w:eastAsia="仿宋_GB2312"/>
          <w:sz w:val="32"/>
          <w:szCs w:val="32"/>
        </w:rPr>
        <w:t>991.67</w:t>
      </w:r>
      <w:r>
        <w:rPr>
          <w:rFonts w:hint="eastAsia" w:ascii="仿宋_GB2312" w:eastAsia="仿宋_GB2312"/>
          <w:color w:val="000000"/>
          <w:sz w:val="32"/>
          <w:szCs w:val="32"/>
        </w:rPr>
        <w:t>万元，比2023年1015.81万元减少</w:t>
      </w:r>
      <w:r>
        <w:rPr>
          <w:rFonts w:hint="eastAsia" w:ascii="仿宋_GB2312" w:eastAsia="仿宋_GB2312"/>
          <w:sz w:val="32"/>
          <w:szCs w:val="32"/>
        </w:rPr>
        <w:t>24.14万</w:t>
      </w:r>
      <w:r>
        <w:rPr>
          <w:rFonts w:hint="eastAsia" w:ascii="仿宋_GB2312" w:eastAsia="仿宋_GB2312"/>
          <w:sz w:val="32"/>
          <w:szCs w:val="32"/>
          <w:highlight w:val="none"/>
        </w:rPr>
        <w:t>元，减少2</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4%</w:t>
      </w:r>
      <w:r>
        <w:rPr>
          <w:rFonts w:hint="eastAsia" w:ascii="仿宋_GB2312" w:eastAsia="仿宋_GB2312"/>
          <w:color w:val="000000"/>
          <w:sz w:val="32"/>
          <w:szCs w:val="32"/>
          <w:highlight w:val="none"/>
        </w:rPr>
        <w:t>。主要原</w:t>
      </w:r>
      <w:r>
        <w:rPr>
          <w:rFonts w:hint="eastAsia" w:ascii="仿宋_GB2312" w:eastAsia="仿宋_GB2312"/>
          <w:color w:val="000000"/>
          <w:sz w:val="32"/>
          <w:szCs w:val="32"/>
        </w:rPr>
        <w:t>因是我单位在2024年按照过紧日子的要求，继续推进节俭经费。</w:t>
      </w:r>
    </w:p>
    <w:p w14:paraId="529C1612">
      <w:pPr>
        <w:ind w:firstLine="555"/>
        <w:rPr>
          <w:rFonts w:ascii="仿宋_GB2312" w:eastAsia="仿宋_GB2312"/>
          <w:sz w:val="32"/>
          <w:szCs w:val="32"/>
        </w:rPr>
      </w:pPr>
      <w:r>
        <w:rPr>
          <w:rFonts w:hint="eastAsia" w:ascii="楷体_GB2312" w:eastAsia="楷体_GB2312"/>
          <w:color w:val="000000"/>
          <w:sz w:val="32"/>
          <w:szCs w:val="32"/>
          <w:highlight w:val="none"/>
          <w:lang w:val="en-US" w:eastAsia="zh-CN"/>
        </w:rPr>
        <w:t>（一）基本支出</w:t>
      </w:r>
      <w:r>
        <w:rPr>
          <w:rFonts w:hint="eastAsia" w:ascii="仿宋_GB2312" w:eastAsia="仿宋_GB2312"/>
          <w:sz w:val="32"/>
          <w:szCs w:val="32"/>
        </w:rPr>
        <w:t>。基本支出预算630.14万元，占总支出预算64%，比2023年780.08万元减少149.94万元，减少19%。</w:t>
      </w:r>
    </w:p>
    <w:p w14:paraId="4A804943">
      <w:pPr>
        <w:ind w:firstLine="645"/>
        <w:rPr>
          <w:rFonts w:ascii="仿宋_GB2312" w:eastAsia="仿宋_GB2312"/>
          <w:sz w:val="32"/>
          <w:szCs w:val="32"/>
        </w:rPr>
      </w:pPr>
      <w:r>
        <w:rPr>
          <w:rFonts w:hint="eastAsia" w:ascii="楷体_GB2312" w:eastAsia="楷体_GB2312"/>
          <w:color w:val="000000"/>
          <w:sz w:val="32"/>
          <w:szCs w:val="32"/>
          <w:highlight w:val="none"/>
          <w:lang w:val="en-US" w:eastAsia="zh-CN"/>
        </w:rPr>
        <w:t>（二）项目支出</w:t>
      </w:r>
      <w:r>
        <w:rPr>
          <w:rFonts w:hint="eastAsia" w:ascii="仿宋_GB2312" w:eastAsia="仿宋_GB2312"/>
          <w:sz w:val="32"/>
          <w:szCs w:val="32"/>
        </w:rPr>
        <w:t>。项目支出预算361.53万元，比2023年235.73万元增加125.8万元，增加53%，增加的</w:t>
      </w:r>
      <w:r>
        <w:rPr>
          <w:rFonts w:ascii="仿宋_GB2312" w:eastAsia="仿宋_GB2312"/>
          <w:sz w:val="32"/>
          <w:szCs w:val="32"/>
        </w:rPr>
        <w:t>主要原因</w:t>
      </w:r>
      <w:r>
        <w:rPr>
          <w:rFonts w:hint="eastAsia" w:ascii="仿宋_GB2312" w:eastAsia="仿宋_GB2312"/>
          <w:sz w:val="32"/>
          <w:szCs w:val="32"/>
        </w:rPr>
        <w:t>是2023年发生的离退休人员抚恤金较多，增加了2024年的机动经费-抚恤金的预算资金125万元</w:t>
      </w:r>
      <w:r>
        <w:rPr>
          <w:rFonts w:ascii="仿宋_GB2312" w:eastAsia="仿宋_GB2312"/>
          <w:sz w:val="32"/>
          <w:szCs w:val="32"/>
        </w:rPr>
        <w:t>。单位</w:t>
      </w:r>
      <w:r>
        <w:rPr>
          <w:rFonts w:hint="eastAsia" w:ascii="仿宋_GB2312" w:eastAsia="仿宋_GB2312"/>
          <w:sz w:val="32"/>
          <w:szCs w:val="32"/>
        </w:rPr>
        <w:t>项目</w:t>
      </w:r>
      <w:r>
        <w:rPr>
          <w:rFonts w:ascii="仿宋_GB2312" w:eastAsia="仿宋_GB2312"/>
          <w:sz w:val="32"/>
          <w:szCs w:val="32"/>
        </w:rPr>
        <w:t>预算主要为</w:t>
      </w:r>
      <w:r>
        <w:rPr>
          <w:rFonts w:hint="eastAsia" w:ascii="仿宋_GB2312" w:eastAsia="仿宋_GB2312"/>
          <w:sz w:val="32"/>
          <w:szCs w:val="32"/>
        </w:rPr>
        <w:t>机动</w:t>
      </w:r>
      <w:r>
        <w:rPr>
          <w:rFonts w:ascii="仿宋_GB2312" w:eastAsia="仿宋_GB2312"/>
          <w:sz w:val="32"/>
          <w:szCs w:val="32"/>
        </w:rPr>
        <w:t>经费。</w:t>
      </w:r>
      <w:r>
        <w:rPr>
          <w:rFonts w:hint="eastAsia" w:ascii="仿宋" w:hAnsi="仿宋" w:eastAsia="仿宋"/>
          <w:sz w:val="32"/>
          <w:szCs w:val="32"/>
        </w:rPr>
        <w:t>其中：</w:t>
      </w:r>
    </w:p>
    <w:p w14:paraId="27DE71F3">
      <w:pPr>
        <w:ind w:firstLine="640" w:firstLineChars="200"/>
        <w:rPr>
          <w:rFonts w:ascii="仿宋_GB2312" w:eastAsia="仿宋_GB2312"/>
          <w:sz w:val="32"/>
          <w:szCs w:val="32"/>
        </w:rPr>
      </w:pPr>
      <w:r>
        <w:rPr>
          <w:rFonts w:hint="eastAsia" w:ascii="仿宋_GB2312" w:eastAsia="仿宋_GB2312"/>
          <w:sz w:val="32"/>
          <w:szCs w:val="32"/>
        </w:rPr>
        <w:t>1.事业单位经营支出0万元。</w:t>
      </w:r>
    </w:p>
    <w:p w14:paraId="531904B9">
      <w:pPr>
        <w:ind w:firstLine="640" w:firstLineChars="200"/>
        <w:rPr>
          <w:rFonts w:ascii="仿宋_GB2312" w:eastAsia="仿宋_GB2312"/>
          <w:sz w:val="32"/>
          <w:szCs w:val="32"/>
        </w:rPr>
      </w:pPr>
      <w:r>
        <w:rPr>
          <w:rFonts w:hint="eastAsia" w:ascii="仿宋_GB2312" w:eastAsia="仿宋_GB2312"/>
          <w:sz w:val="32"/>
          <w:szCs w:val="32"/>
        </w:rPr>
        <w:t>2.上缴上级支出0万元。</w:t>
      </w:r>
    </w:p>
    <w:p w14:paraId="73E2F321">
      <w:pPr>
        <w:ind w:firstLine="640" w:firstLineChars="200"/>
        <w:rPr>
          <w:rFonts w:ascii="仿宋_GB2312" w:eastAsia="仿宋_GB2312"/>
          <w:sz w:val="32"/>
          <w:szCs w:val="32"/>
        </w:rPr>
      </w:pPr>
      <w:r>
        <w:rPr>
          <w:rFonts w:hint="eastAsia" w:ascii="仿宋_GB2312" w:eastAsia="仿宋_GB2312"/>
          <w:sz w:val="32"/>
          <w:szCs w:val="32"/>
        </w:rPr>
        <w:t>3.对附属单位补助支出0万元。</w:t>
      </w:r>
    </w:p>
    <w:p w14:paraId="46985CBD">
      <w:pPr>
        <w:pStyle w:val="2"/>
      </w:pPr>
      <w:r>
        <w:drawing>
          <wp:inline distT="0" distB="0" distL="114300" distR="114300">
            <wp:extent cx="3730625" cy="2324100"/>
            <wp:effectExtent l="4445" t="4445" r="17780"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C17ED38">
      <w:pPr>
        <w:ind w:firstLine="643" w:firstLineChars="200"/>
        <w:rPr>
          <w:rFonts w:ascii="黑体" w:eastAsia="黑体"/>
          <w:b/>
          <w:sz w:val="32"/>
          <w:szCs w:val="32"/>
        </w:rPr>
      </w:pPr>
      <w:r>
        <w:rPr>
          <w:rFonts w:hint="eastAsia" w:ascii="黑体" w:eastAsia="黑体"/>
          <w:b/>
          <w:sz w:val="32"/>
          <w:szCs w:val="32"/>
        </w:rPr>
        <w:t>四、财政拨款“三公”经费预算情况说明</w:t>
      </w:r>
    </w:p>
    <w:p w14:paraId="55FAA8FB">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（一）"三公"经费的单位范围</w:t>
      </w:r>
    </w:p>
    <w:p w14:paraId="52A89424">
      <w:pPr>
        <w:ind w:firstLine="555"/>
        <w:rPr>
          <w:rFonts w:ascii="仿宋_GB2312" w:eastAsia="仿宋_GB2312"/>
          <w:sz w:val="32"/>
          <w:szCs w:val="32"/>
        </w:rPr>
      </w:pPr>
      <w:r>
        <w:rPr>
          <w:rFonts w:hint="eastAsia" w:ascii="仿宋_GB2312" w:eastAsia="仿宋_GB2312"/>
          <w:sz w:val="32"/>
          <w:szCs w:val="32"/>
        </w:rPr>
        <w:t>北京兴东方实业有限责任公司部门因公出国（境）费用、公务接待费、公务用车购置和运行维护费开支单位包括北京汽车集团有限公司离退休干部管理服务中心一个所属单位。</w:t>
      </w:r>
    </w:p>
    <w:p w14:paraId="45F9B53A">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（二）财政拨款"三公"经费预算情况说明</w:t>
      </w:r>
    </w:p>
    <w:p w14:paraId="2EB4EB4D">
      <w:pPr>
        <w:ind w:firstLine="555"/>
        <w:rPr>
          <w:rFonts w:ascii="仿宋_GB2312" w:eastAsia="仿宋_GB2312"/>
          <w:sz w:val="32"/>
          <w:szCs w:val="32"/>
        </w:rPr>
      </w:pPr>
      <w:r>
        <w:rPr>
          <w:rFonts w:hint="eastAsia" w:ascii="仿宋_GB2312" w:eastAsia="仿宋_GB2312"/>
          <w:sz w:val="32"/>
          <w:szCs w:val="32"/>
        </w:rPr>
        <w:t>2024年财政拨款"三公"经费预算8.70万元，比2023年"三公"经费财政拨款预算减少0.03万元。其中：</w:t>
      </w:r>
    </w:p>
    <w:p w14:paraId="0AB8BE8C">
      <w:pPr>
        <w:ind w:firstLine="555"/>
        <w:rPr>
          <w:rFonts w:ascii="仿宋_GB2312" w:eastAsia="仿宋_GB2312"/>
          <w:sz w:val="32"/>
          <w:szCs w:val="32"/>
        </w:rPr>
      </w:pPr>
      <w:r>
        <w:rPr>
          <w:rFonts w:hint="eastAsia" w:ascii="仿宋_GB2312" w:eastAsia="仿宋_GB2312"/>
          <w:sz w:val="32"/>
          <w:szCs w:val="32"/>
        </w:rPr>
        <w:t>1.因公出国（境）费用。2024年预算数0万元，比2023年年初预算数0万元减少0万元。</w:t>
      </w:r>
    </w:p>
    <w:p w14:paraId="135AB817">
      <w:pPr>
        <w:ind w:firstLine="640" w:firstLineChars="200"/>
        <w:rPr>
          <w:rFonts w:ascii="仿宋_GB2312" w:eastAsia="仿宋_GB2312"/>
          <w:sz w:val="32"/>
          <w:szCs w:val="32"/>
        </w:rPr>
      </w:pPr>
      <w:r>
        <w:rPr>
          <w:rFonts w:hint="eastAsia" w:ascii="仿宋_GB2312" w:eastAsia="仿宋_GB2312"/>
          <w:sz w:val="32"/>
          <w:szCs w:val="32"/>
        </w:rPr>
        <w:t>2.公务接待费。2024年预算数0.10万元，比2023年年初预算数0.13万元减少0.03万元，主要原因：在职人员减少，对应减少定额公用经费。</w:t>
      </w:r>
    </w:p>
    <w:p w14:paraId="6D7BBE9E">
      <w:pPr>
        <w:ind w:firstLine="600"/>
        <w:rPr>
          <w:rFonts w:ascii="仿宋_GB2312" w:eastAsia="仿宋_GB2312"/>
          <w:sz w:val="32"/>
          <w:szCs w:val="32"/>
        </w:rPr>
      </w:pPr>
      <w:r>
        <w:rPr>
          <w:rFonts w:hint="eastAsia" w:ascii="仿宋_GB2312" w:eastAsia="仿宋_GB2312"/>
          <w:sz w:val="32"/>
          <w:szCs w:val="32"/>
        </w:rPr>
        <w:t>3.公务用车购置和运行维护费。2024年预算数8.60万元，其中，公务用车购置费2024年预算数0万元，比2023年年初预算数0万元减少0万元；公务用车运行维护费2024年预算数8.60万元，其中：公务用车燃油1.55万元，公务用车维修2.55万元，公务用车保险2.55万元，其他1.95万元。比2023年预算数8.6万元减少0万元。与2023年持平。</w:t>
      </w:r>
    </w:p>
    <w:p w14:paraId="7E7E5B38">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五、其他情况说明</w:t>
      </w:r>
    </w:p>
    <w:p w14:paraId="4BB596B0">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（一）政府采购预算说明</w:t>
      </w:r>
    </w:p>
    <w:p w14:paraId="1A0E6FE1">
      <w:pPr>
        <w:ind w:firstLine="600"/>
        <w:rPr>
          <w:rFonts w:ascii="仿宋_GB2312" w:eastAsia="仿宋_GB2312"/>
          <w:sz w:val="32"/>
          <w:szCs w:val="32"/>
        </w:rPr>
      </w:pPr>
      <w:r>
        <w:rPr>
          <w:rFonts w:hint="eastAsia" w:ascii="仿宋_GB2312" w:eastAsia="仿宋_GB2312"/>
          <w:sz w:val="32"/>
          <w:szCs w:val="32"/>
        </w:rPr>
        <w:t>2024年北京兴东方实业有限责任公司无政府采购预算。</w:t>
      </w:r>
    </w:p>
    <w:p w14:paraId="56AA3D11">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（二）政府购买服务预算说明</w:t>
      </w:r>
    </w:p>
    <w:p w14:paraId="1F839181">
      <w:pPr>
        <w:ind w:firstLine="600"/>
        <w:rPr>
          <w:rFonts w:ascii="仿宋_GB2312" w:eastAsia="仿宋_GB2312"/>
          <w:sz w:val="32"/>
          <w:szCs w:val="32"/>
        </w:rPr>
      </w:pPr>
      <w:r>
        <w:rPr>
          <w:rFonts w:hint="eastAsia" w:ascii="仿宋_GB2312" w:eastAsia="仿宋_GB2312"/>
          <w:sz w:val="32"/>
          <w:szCs w:val="32"/>
        </w:rPr>
        <w:t>2024年北京兴东方实业有限责任公司无政府购买服务预算。</w:t>
      </w:r>
      <w:bookmarkStart w:id="0" w:name="_GoBack"/>
      <w:bookmarkEnd w:id="0"/>
    </w:p>
    <w:p w14:paraId="5E5CD7F3">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（三）机关运行经费情况说明</w:t>
      </w:r>
    </w:p>
    <w:p w14:paraId="55777F7D">
      <w:pPr>
        <w:ind w:firstLine="600"/>
        <w:rPr>
          <w:rFonts w:ascii="仿宋_GB2312" w:eastAsia="仿宋_GB2312"/>
          <w:sz w:val="32"/>
          <w:szCs w:val="32"/>
        </w:rPr>
      </w:pPr>
      <w:r>
        <w:rPr>
          <w:rFonts w:hint="eastAsia" w:ascii="仿宋_GB2312" w:eastAsia="仿宋_GB2312"/>
          <w:sz w:val="32"/>
          <w:szCs w:val="32"/>
        </w:rPr>
        <w:t>2024年北京兴东方实业有限责任公司有0家行政单位以及0家参公管理事业单位，无机关运行经费财政拨款预算。</w:t>
      </w:r>
    </w:p>
    <w:p w14:paraId="2BB289C7">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 xml:space="preserve">（四）项目支出绩效目标情况说明  </w:t>
      </w:r>
    </w:p>
    <w:p w14:paraId="18FEF9EE">
      <w:pPr>
        <w:ind w:firstLine="600"/>
        <w:rPr>
          <w:rFonts w:ascii="仿宋_GB2312" w:eastAsia="仿宋_GB2312"/>
          <w:sz w:val="32"/>
          <w:szCs w:val="32"/>
        </w:rPr>
      </w:pPr>
      <w:r>
        <w:rPr>
          <w:rFonts w:hint="eastAsia" w:ascii="仿宋_GB2312" w:eastAsia="仿宋_GB2312"/>
          <w:sz w:val="32"/>
          <w:szCs w:val="32"/>
        </w:rPr>
        <w:t>2024年，北京兴东方实业有限责任公司填报绩效目标的预算项目3个，占本部门全部预算项目3个的100%。填报绩效目标的项目支出预算361.53万元，占本部门全部项目支出预算的100%。</w:t>
      </w:r>
    </w:p>
    <w:p w14:paraId="7F7D6BF9">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（五）重点行政事业性收费情况说明</w:t>
      </w:r>
    </w:p>
    <w:p w14:paraId="40837800">
      <w:pPr>
        <w:ind w:firstLine="640" w:firstLineChars="200"/>
        <w:rPr>
          <w:rFonts w:ascii="仿宋_GB2312" w:eastAsia="仿宋_GB2312"/>
          <w:sz w:val="32"/>
          <w:szCs w:val="32"/>
        </w:rPr>
      </w:pPr>
      <w:r>
        <w:rPr>
          <w:rFonts w:hint="eastAsia" w:ascii="仿宋_GB2312" w:eastAsia="仿宋_GB2312"/>
          <w:sz w:val="32"/>
          <w:szCs w:val="32"/>
        </w:rPr>
        <w:t>本部门2024年无重点行政事业性收费。</w:t>
      </w:r>
    </w:p>
    <w:p w14:paraId="7028099E">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（六）国有资本经营预算财政拨款情况说明</w:t>
      </w:r>
    </w:p>
    <w:p w14:paraId="7DD44FBF">
      <w:pPr>
        <w:ind w:firstLine="640" w:firstLineChars="200"/>
        <w:rPr>
          <w:rFonts w:ascii="仿宋_GB2312" w:eastAsia="仿宋_GB2312"/>
          <w:sz w:val="32"/>
          <w:szCs w:val="32"/>
        </w:rPr>
      </w:pPr>
      <w:r>
        <w:rPr>
          <w:rFonts w:hint="eastAsia" w:ascii="仿宋_GB2312" w:eastAsia="仿宋_GB2312"/>
          <w:sz w:val="32"/>
          <w:szCs w:val="32"/>
        </w:rPr>
        <w:t>本部门2024年无国有资本经营预算财政拨款安排的预算</w:t>
      </w:r>
    </w:p>
    <w:p w14:paraId="7CEE3C96">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（七）国有资产占用情况说明</w:t>
      </w:r>
    </w:p>
    <w:p w14:paraId="449A3B9D">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w:t>
      </w:r>
      <w:r>
        <w:rPr>
          <w:rFonts w:hint="eastAsia" w:ascii="仿宋_GB2312" w:eastAsia="仿宋_GB2312"/>
          <w:color w:val="000000"/>
          <w:sz w:val="32"/>
          <w:szCs w:val="32"/>
          <w:highlight w:val="none"/>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年底，</w:t>
      </w:r>
      <w:r>
        <w:rPr>
          <w:rFonts w:hint="eastAsia" w:ascii="仿宋_GB2312" w:eastAsia="仿宋_GB2312"/>
          <w:color w:val="000000"/>
          <w:sz w:val="32"/>
          <w:szCs w:val="32"/>
        </w:rPr>
        <w:t>本部门共有车辆6台，共计168万元；单位价值50万元以上的通用设备0台（套）、0万元。2024年预算安排中，购置单位价值50万元以上的设备0台（套）、0万元。</w:t>
      </w:r>
    </w:p>
    <w:p w14:paraId="512A4200">
      <w:pPr>
        <w:numPr>
          <w:ilvl w:val="0"/>
          <w:numId w:val="2"/>
        </w:numPr>
        <w:spacing w:line="560" w:lineRule="exact"/>
        <w:ind w:firstLine="640" w:firstLineChars="200"/>
        <w:rPr>
          <w:rFonts w:ascii="黑体" w:eastAsia="黑体"/>
          <w:color w:val="000000"/>
          <w:sz w:val="32"/>
          <w:szCs w:val="32"/>
        </w:rPr>
      </w:pPr>
      <w:r>
        <w:rPr>
          <w:rFonts w:hint="eastAsia" w:ascii="黑体" w:eastAsia="黑体"/>
          <w:color w:val="000000"/>
          <w:sz w:val="32"/>
          <w:szCs w:val="32"/>
        </w:rPr>
        <w:t>名词解释</w:t>
      </w:r>
    </w:p>
    <w:p w14:paraId="7355946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14:paraId="660DED77">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14:paraId="26DF5ECE">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“三公”经费财政拨款预算数：指本部门当年部门预算安排的因公出国（境）费用、公务接待费、公务用车购置和运行维护费预算数。</w:t>
      </w:r>
    </w:p>
    <w:p w14:paraId="5CC0B620">
      <w:pPr>
        <w:pStyle w:val="2"/>
      </w:pPr>
    </w:p>
    <w:p w14:paraId="7FFB46CE"/>
    <w:p w14:paraId="35474750">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2024年度部门预算报表</w:t>
      </w:r>
    </w:p>
    <w:p w14:paraId="702756EA">
      <w:pPr>
        <w:autoSpaceDE w:val="0"/>
        <w:autoSpaceDN w:val="0"/>
        <w:adjustRightInd w:val="0"/>
        <w:spacing w:line="560" w:lineRule="exact"/>
        <w:jc w:val="left"/>
        <w:rPr>
          <w:rFonts w:ascii="方正小标宋简体" w:eastAsia="方正小标宋简体"/>
          <w:color w:val="000000"/>
          <w:sz w:val="36"/>
          <w:szCs w:val="36"/>
        </w:rPr>
      </w:pPr>
    </w:p>
    <w:p w14:paraId="4CB126BF">
      <w:r>
        <w:rPr>
          <w:rFonts w:hint="eastAsia" w:ascii="仿宋_GB2312" w:eastAsia="仿宋_GB2312"/>
          <w:color w:val="000000"/>
          <w:sz w:val="32"/>
          <w:szCs w:val="32"/>
        </w:rPr>
        <w:t>附件：北京兴东方实业有限责任公司2024年度部门预算报表</w:t>
      </w:r>
      <w:r>
        <w:rPr>
          <w:rFonts w:hint="eastAsia" w:ascii="仿宋_GB2312" w:eastAsia="仿宋_GB2312" w:cs="宋体"/>
          <w:color w:val="000000"/>
          <w:kern w:val="0"/>
          <w:sz w:val="32"/>
          <w:szCs w:val="32"/>
          <w:lang w:val="zh-CN"/>
        </w:rPr>
        <w:t xml:space="preserve">  </w:t>
      </w:r>
    </w:p>
    <w:p w14:paraId="0A728AAA">
      <w:pPr>
        <w:pStyle w:val="2"/>
      </w:pPr>
    </w:p>
    <w:sectPr>
      <w:footerReference r:id="rId3" w:type="default"/>
      <w:pgSz w:w="11906" w:h="16838"/>
      <w:pgMar w:top="1440" w:right="1486"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D7B8B">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D7FC7E">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3D7FC7E">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txbxContent>
              </v:textbox>
            </v:shape>
          </w:pict>
        </mc:Fallback>
      </mc:AlternateContent>
    </w:r>
  </w:p>
  <w:p w14:paraId="193CE719">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2E170E"/>
    <w:multiLevelType w:val="singleLevel"/>
    <w:tmpl w:val="BE2E170E"/>
    <w:lvl w:ilvl="0" w:tentative="0">
      <w:start w:val="10"/>
      <w:numFmt w:val="chineseCounting"/>
      <w:suff w:val="nothing"/>
      <w:lvlText w:val="%1、"/>
      <w:lvlJc w:val="left"/>
      <w:rPr>
        <w:rFonts w:hint="eastAsia"/>
      </w:rPr>
    </w:lvl>
  </w:abstractNum>
  <w:abstractNum w:abstractNumId="1">
    <w:nsid w:val="0EEDCBF4"/>
    <w:multiLevelType w:val="singleLevel"/>
    <w:tmpl w:val="0EEDCBF4"/>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s>
  <w:rsids>
    <w:rsidRoot w:val="00C02961"/>
    <w:rsid w:val="0003377D"/>
    <w:rsid w:val="00124FC2"/>
    <w:rsid w:val="001B226F"/>
    <w:rsid w:val="001F0D13"/>
    <w:rsid w:val="003A026D"/>
    <w:rsid w:val="003F2DDF"/>
    <w:rsid w:val="00411FF7"/>
    <w:rsid w:val="00482C02"/>
    <w:rsid w:val="004F3468"/>
    <w:rsid w:val="006018B1"/>
    <w:rsid w:val="00672A71"/>
    <w:rsid w:val="00687517"/>
    <w:rsid w:val="007607AC"/>
    <w:rsid w:val="00782D19"/>
    <w:rsid w:val="00870DE5"/>
    <w:rsid w:val="008F0DFE"/>
    <w:rsid w:val="009A743E"/>
    <w:rsid w:val="009C54FA"/>
    <w:rsid w:val="00A15E4A"/>
    <w:rsid w:val="00AC4D5F"/>
    <w:rsid w:val="00AD36A8"/>
    <w:rsid w:val="00B41AC8"/>
    <w:rsid w:val="00BE2846"/>
    <w:rsid w:val="00C02961"/>
    <w:rsid w:val="00C07342"/>
    <w:rsid w:val="00C53B52"/>
    <w:rsid w:val="00C54813"/>
    <w:rsid w:val="00C57F31"/>
    <w:rsid w:val="00CD5AE9"/>
    <w:rsid w:val="00D35B0E"/>
    <w:rsid w:val="00D75B8C"/>
    <w:rsid w:val="00DA1996"/>
    <w:rsid w:val="00EC1C8C"/>
    <w:rsid w:val="00EE4CB5"/>
    <w:rsid w:val="00FD7476"/>
    <w:rsid w:val="00FF74AD"/>
    <w:rsid w:val="03F01B1D"/>
    <w:rsid w:val="11421D1E"/>
    <w:rsid w:val="13F0537F"/>
    <w:rsid w:val="14172FEE"/>
    <w:rsid w:val="174017A1"/>
    <w:rsid w:val="1B2D6322"/>
    <w:rsid w:val="1F0C2A37"/>
    <w:rsid w:val="21F36E96"/>
    <w:rsid w:val="225C42C2"/>
    <w:rsid w:val="26B53959"/>
    <w:rsid w:val="27D22378"/>
    <w:rsid w:val="2AF05E90"/>
    <w:rsid w:val="2BAE2B17"/>
    <w:rsid w:val="327C6448"/>
    <w:rsid w:val="32DF6F75"/>
    <w:rsid w:val="355A0B35"/>
    <w:rsid w:val="3A9B19D4"/>
    <w:rsid w:val="3D4A1E72"/>
    <w:rsid w:val="3D74475E"/>
    <w:rsid w:val="42507548"/>
    <w:rsid w:val="4B3A0D95"/>
    <w:rsid w:val="4E3E0B9C"/>
    <w:rsid w:val="4EF120B3"/>
    <w:rsid w:val="53A92F5C"/>
    <w:rsid w:val="55E00108"/>
    <w:rsid w:val="56B539C6"/>
    <w:rsid w:val="5A146C55"/>
    <w:rsid w:val="5B971303"/>
    <w:rsid w:val="5EA51FF7"/>
    <w:rsid w:val="61657F1E"/>
    <w:rsid w:val="61A4290C"/>
    <w:rsid w:val="623F6839"/>
    <w:rsid w:val="626E11F9"/>
    <w:rsid w:val="62E010C3"/>
    <w:rsid w:val="62E55100"/>
    <w:rsid w:val="64357D91"/>
    <w:rsid w:val="6612673F"/>
    <w:rsid w:val="6BA90EC0"/>
    <w:rsid w:val="6DCC18C9"/>
    <w:rsid w:val="6DDA2238"/>
    <w:rsid w:val="6E5C781B"/>
    <w:rsid w:val="6F993A2D"/>
    <w:rsid w:val="70D8032A"/>
    <w:rsid w:val="736B61C4"/>
    <w:rsid w:val="736D5F0E"/>
    <w:rsid w:val="74A94712"/>
    <w:rsid w:val="7592164A"/>
    <w:rsid w:val="766703E1"/>
    <w:rsid w:val="77CB499F"/>
    <w:rsid w:val="79D97847"/>
    <w:rsid w:val="7C280612"/>
    <w:rsid w:val="A5FD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99"/>
    <w:rPr>
      <w:rFonts w:ascii="Times New Roman" w:hAnsi="Times New Roman" w:eastAsia="宋体" w:cs="Droid Sans"/>
      <w:sz w:val="18"/>
      <w:szCs w:val="18"/>
    </w:rPr>
  </w:style>
  <w:style w:type="character" w:customStyle="1" w:styleId="9">
    <w:name w:val="页脚 Char"/>
    <w:basedOn w:val="7"/>
    <w:link w:val="4"/>
    <w:autoRedefine/>
    <w:qFormat/>
    <w:uiPriority w:val="99"/>
    <w:rPr>
      <w:rFonts w:ascii="Times New Roman" w:hAnsi="Times New Roman" w:eastAsia="宋体" w:cs="Droid Sans"/>
      <w:sz w:val="18"/>
      <w:szCs w:val="18"/>
    </w:rPr>
  </w:style>
  <w:style w:type="character" w:customStyle="1" w:styleId="10">
    <w:name w:val="批注框文本 Char"/>
    <w:basedOn w:val="7"/>
    <w:link w:val="3"/>
    <w:semiHidden/>
    <w:qFormat/>
    <w:uiPriority w:val="99"/>
    <w:rPr>
      <w:rFonts w:ascii="Times New Roman" w:hAnsi="Times New Roman" w:eastAsia="宋体" w:cs="Droid Sans"/>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0202&#39044;&#31639;&#20844;&#24320;\2024&#24180;&#39044;&#31639;&#20844;&#24320;\&#39044;&#31639;&#20844;&#24320;&#38468;&#39292;&#2227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0202&#39044;&#31639;&#20844;&#24320;\2024&#24180;&#39044;&#31639;&#20844;&#24320;\&#39044;&#31639;&#20844;&#24320;&#38468;&#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图</a:t>
            </a:r>
            <a:r>
              <a:rPr lang="en-US" altLang="zh-CN"/>
              <a:t>1</a:t>
            </a:r>
            <a:r>
              <a:rPr altLang="en-US"/>
              <a:t>收入预算表</a:t>
            </a:r>
            <a:endParaRPr altLang="en-US"/>
          </a:p>
        </c:rich>
      </c:tx>
      <c:layout/>
      <c:overlay val="0"/>
      <c:spPr>
        <a:noFill/>
        <a:ln>
          <a:noFill/>
        </a:ln>
        <a:effectLst/>
      </c:spPr>
    </c:title>
    <c:autoTitleDeleted val="0"/>
    <c:plotArea>
      <c:layout/>
      <c:pieChart>
        <c:varyColors val="1"/>
        <c:ser>
          <c:idx val="0"/>
          <c:order val="0"/>
          <c:tx>
            <c:strRef>
              <c:f>'[预算公开附饼图1.xlsx]Sheet1 (2)'!$B$5</c:f>
              <c:strCache>
                <c:ptCount val="1"/>
                <c:pt idx="0">
                  <c:v>一般公共预算拨款收入</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Lbls>
            <c:dLbl>
              <c:idx val="0"/>
              <c:layout>
                <c:manualLayout>
                  <c:x val="0.00170828968220054"/>
                  <c:y val="-0.21709765593277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 100%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'[预算公开附饼图1.xlsx]Sheet1 (2)'!$B$10</c:f>
              <c:strCache>
                <c:ptCount val="1"/>
                <c:pt idx="0">
                  <c:v>一般公共预算拨款收入</c:v>
                </c:pt>
              </c:strCache>
            </c:strRef>
          </c:cat>
          <c:val>
            <c:numRef>
              <c:f>'[预算公开附饼图1.xlsx]Sheet1 (2)'!$C$5</c:f>
              <c:numCache>
                <c:formatCode>#,##0.00</c:formatCode>
                <c:ptCount val="1"/>
                <c:pt idx="0">
                  <c:v>1015.814306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manualLayout>
          <c:xMode val="edge"/>
          <c:yMode val="edge"/>
          <c:x val="0.360654660181412"/>
          <c:y val="0.14422638064810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99745ce-eb81-464d-8292-58ecae88775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图</a:t>
            </a:r>
            <a:r>
              <a:rPr lang="en-US" altLang="zh-CN"/>
              <a:t>2</a:t>
            </a:r>
            <a:r>
              <a:rPr lang="zh-CN" altLang="en-US"/>
              <a:t>：基本支出和项目支出情况表</a:t>
            </a:r>
            <a:endParaRPr lang="zh-CN" altLang="en-US"/>
          </a:p>
        </c:rich>
      </c:tx>
      <c:layout/>
      <c:overlay val="0"/>
      <c:spPr>
        <a:noFill/>
        <a:ln>
          <a:noFill/>
        </a:ln>
        <a:effectLst/>
      </c:spPr>
    </c:title>
    <c:autoTitleDeleted val="0"/>
    <c:plotArea>
      <c:layout/>
      <c:pieChart>
        <c:varyColors val="1"/>
        <c:ser>
          <c:idx val="0"/>
          <c:order val="0"/>
          <c:spPr>
            <a:solidFill>
              <a:schemeClr val="accent2">
                <a:lumMod val="60000"/>
                <a:lumOff val="40000"/>
              </a:schemeClr>
            </a:solidFill>
          </c:spPr>
          <c:explosion val="0"/>
          <c:dPt>
            <c:idx val="0"/>
            <c:bubble3D val="0"/>
            <c:spPr>
              <a:solidFill>
                <a:schemeClr val="accent2">
                  <a:lumMod val="60000"/>
                  <a:lumOff val="40000"/>
                </a:schemeClr>
              </a:solidFill>
              <a:ln>
                <a:solidFill>
                  <a:schemeClr val="bg1"/>
                </a:solidFill>
              </a:ln>
              <a:effectLst/>
            </c:spPr>
          </c:dPt>
          <c:dPt>
            <c:idx val="1"/>
            <c:bubble3D val="0"/>
            <c:spPr>
              <a:solidFill>
                <a:schemeClr val="accent1"/>
              </a:solidFill>
              <a:ln>
                <a:solidFill>
                  <a:schemeClr val="bg1"/>
                </a:solidFill>
              </a:ln>
              <a:effectLst/>
            </c:spPr>
          </c:dPt>
          <c:dPt>
            <c:idx val="2"/>
            <c:bubble3D val="0"/>
            <c:spPr>
              <a:solidFill>
                <a:schemeClr val="accent2">
                  <a:lumMod val="75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[预算公开附饼图1.xlsx]Sheet1!$C$33:$C$35</c:f>
              <c:numCache>
                <c:formatCode>General</c:formatCode>
                <c:ptCount val="3"/>
                <c:pt idx="1">
                  <c:v>630.14</c:v>
                </c:pt>
                <c:pt idx="2">
                  <c:v>361.53</c:v>
                </c:pt>
              </c:numCache>
            </c:numRef>
          </c:val>
        </c:ser>
        <c:ser>
          <c:idx val="1"/>
          <c:order val="1"/>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[预算公开附饼图1.xlsx]Sheet1!$D$33:$D$35</c:f>
              <c:numCache>
                <c:formatCode>General</c:formatCode>
                <c:ptCount val="3"/>
                <c:pt idx="1" c:formatCode="0%">
                  <c:v>0.635433158207872</c:v>
                </c:pt>
                <c:pt idx="2" c:formatCode="0%">
                  <c:v>0.364566841792128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671ae8c-4eac-4ec1-95d4-2308efd18ccf}"/>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2245</Words>
  <Characters>2524</Characters>
  <Lines>18</Lines>
  <Paragraphs>5</Paragraphs>
  <TotalTime>16</TotalTime>
  <ScaleCrop>false</ScaleCrop>
  <LinksUpToDate>false</LinksUpToDate>
  <CharactersWithSpaces>2554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2021-11-26T16:23:00Z</dcterms:created>
  <dc:creator>mavis12310@126.com</dc:creator>
  <cp:lastModifiedBy>煜垚</cp:lastModifiedBy>
  <cp:lastPrinted>2024-01-16T02:20:00Z</cp:lastPrinted>
  <dcterms:modified xsi:type="dcterms:W3CDTF">2024-02-25T02:28:24Z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EF9D98963F9A40B180C8F2B4BF53E501_13</vt:lpwstr>
  </property>
  <property fmtid="{D5CDD505-2E9C-101B-9397-08002B2CF9AE}" pid="4" name="KSOTemplateDocerSaveRecord">
    <vt:lpwstr>eyJoZGlkIjoiZmY4MGQxZWU2YzEyZTBjNmQxMzE5Zjc4ZTZkNTBjYjciLCJ1c2VySWQiOiIyNDU0NzI1OTIifQ==</vt:lpwstr>
  </property>
</Properties>
</file>