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3336F">
      <w:pPr>
        <w:spacing w:line="480" w:lineRule="exact"/>
        <w:rPr>
          <w:rFonts w:hint="eastAsia" w:ascii="方正小标宋简体" w:eastAsia="黑体"/>
          <w:sz w:val="36"/>
          <w:szCs w:val="36"/>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4</w:t>
      </w:r>
      <w:r>
        <w:rPr>
          <w:rFonts w:hint="eastAsia" w:ascii="黑体" w:hAnsi="黑体" w:eastAsia="黑体"/>
          <w:sz w:val="32"/>
          <w:szCs w:val="32"/>
        </w:rPr>
        <w:t>-</w:t>
      </w:r>
      <w:r>
        <w:rPr>
          <w:rFonts w:hint="eastAsia" w:ascii="黑体" w:hAnsi="黑体" w:eastAsia="黑体"/>
          <w:sz w:val="32"/>
          <w:szCs w:val="32"/>
          <w:lang w:val="en-US" w:eastAsia="zh-CN"/>
        </w:rPr>
        <w:t>1</w:t>
      </w:r>
    </w:p>
    <w:p w14:paraId="62BB8ECF">
      <w:pPr>
        <w:spacing w:line="560" w:lineRule="exact"/>
        <w:jc w:val="center"/>
        <w:rPr>
          <w:rFonts w:ascii="方正小标宋简体" w:eastAsia="方正小标宋简体"/>
          <w:sz w:val="36"/>
          <w:szCs w:val="36"/>
        </w:rPr>
      </w:pPr>
      <w:r>
        <w:rPr>
          <w:rFonts w:hint="eastAsia" w:ascii="方正小标宋简体" w:eastAsia="方正小标宋简体"/>
          <w:sz w:val="36"/>
          <w:szCs w:val="36"/>
          <w:lang w:eastAsia="zh-CN"/>
        </w:rPr>
        <w:t>单位</w:t>
      </w:r>
      <w:r>
        <w:rPr>
          <w:rFonts w:hint="eastAsia" w:ascii="方正小标宋简体" w:eastAsia="方正小标宋简体"/>
          <w:sz w:val="36"/>
          <w:szCs w:val="36"/>
        </w:rPr>
        <w:t>整体绩效评价报告</w:t>
      </w:r>
    </w:p>
    <w:p w14:paraId="7ECDA242">
      <w:pPr>
        <w:jc w:val="center"/>
        <w:rPr>
          <w:rFonts w:ascii="仿宋_GB2312"/>
          <w:szCs w:val="30"/>
        </w:rPr>
      </w:pPr>
    </w:p>
    <w:p w14:paraId="1EFE1C21">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一、单位概况</w:t>
      </w:r>
    </w:p>
    <w:p w14:paraId="503040DD">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（一）机构设置及职责工作任务情况</w:t>
      </w:r>
    </w:p>
    <w:p w14:paraId="035D1E25">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北京汽车集团有限公司离退休干部管理服务中心（以下简称“中心”）为全额拨款事业单位，上级预算单位为北京兴东方实业有限责任公司。中心于2003年经北京市机构编制委员会批准成立（京编事（2003）第80号文），执行事业单位会计制度;2015年9月被北京市机构编制委员会确认为公益一类事业单位;2019年7月经北京市机构编制委员会批准更名为北京汽车集团有限公司离退休干部管理服务中心（京编事（2019）第90号文），宗旨和业务范围扩充为对离退休干部的管理与服务；同年8月经北京市事业单位登记管理局登记注册并核发事业单位法人证书。</w:t>
      </w:r>
    </w:p>
    <w:p w14:paraId="40367BE9">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中心主要负责管理和服务离退休干部，为离休及退休干部进行日常管理与服务，为离退休干部提供保障服务，协调各种纠纷等。</w:t>
      </w:r>
    </w:p>
    <w:p w14:paraId="307F1A4D">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w:t>
      </w:r>
      <w:r>
        <w:rPr>
          <w:rFonts w:hint="eastAsia" w:ascii="仿宋_GB2312" w:hAnsi="宋体" w:eastAsia="仿宋_GB2312" w:cs="宋体"/>
          <w:color w:val="000000"/>
          <w:kern w:val="0"/>
          <w:sz w:val="32"/>
          <w:szCs w:val="32"/>
          <w:lang w:eastAsia="zh-CN"/>
        </w:rPr>
        <w:t>单位</w:t>
      </w:r>
      <w:r>
        <w:rPr>
          <w:rFonts w:hint="eastAsia" w:ascii="仿宋_GB2312" w:hAnsi="宋体" w:eastAsia="仿宋_GB2312" w:cs="宋体"/>
          <w:color w:val="000000"/>
          <w:kern w:val="0"/>
          <w:sz w:val="32"/>
          <w:szCs w:val="32"/>
        </w:rPr>
        <w:t>整体绩效目标设立情况</w:t>
      </w:r>
    </w:p>
    <w:p w14:paraId="2854D276">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中心围绕管理与服务离退休老干部开展工作。</w:t>
      </w:r>
    </w:p>
    <w:p w14:paraId="6ECECCB9">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目标与职责任务匹配、目标合理。</w:t>
      </w:r>
    </w:p>
    <w:p w14:paraId="549CDD8B">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14:paraId="4839E03C">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eastAsia="zh-CN"/>
        </w:rPr>
        <w:t>2024</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预算数</w:t>
      </w:r>
      <w:r>
        <w:rPr>
          <w:rFonts w:hint="eastAsia" w:ascii="仿宋_GB2312" w:hAnsi="仿宋" w:eastAsia="仿宋_GB2312"/>
          <w:sz w:val="32"/>
          <w:szCs w:val="32"/>
          <w:lang w:val="en-US" w:eastAsia="zh-CN"/>
        </w:rPr>
        <w:t>991.67</w:t>
      </w:r>
      <w:r>
        <w:rPr>
          <w:rFonts w:hint="eastAsia" w:ascii="仿宋_GB2312" w:hAnsi="仿宋" w:eastAsia="仿宋_GB2312"/>
          <w:sz w:val="32"/>
          <w:szCs w:val="32"/>
        </w:rPr>
        <w:t>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其中</w:t>
      </w:r>
      <w:r>
        <w:rPr>
          <w:rFonts w:ascii="仿宋_GB2312" w:hAnsi="宋体" w:eastAsia="仿宋_GB2312" w:cs="宋体"/>
          <w:color w:val="000000"/>
          <w:kern w:val="0"/>
          <w:sz w:val="32"/>
          <w:szCs w:val="32"/>
        </w:rPr>
        <w:t>，基本</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预算数</w:t>
      </w:r>
      <w:r>
        <w:rPr>
          <w:rFonts w:hint="eastAsia" w:ascii="仿宋_GB2312" w:hAnsi="宋体" w:eastAsia="仿宋_GB2312" w:cs="宋体"/>
          <w:color w:val="000000"/>
          <w:kern w:val="0"/>
          <w:sz w:val="32"/>
          <w:szCs w:val="32"/>
          <w:lang w:val="en-US" w:eastAsia="zh-CN"/>
        </w:rPr>
        <w:t>630.14</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项目支出预算数</w:t>
      </w:r>
      <w:r>
        <w:rPr>
          <w:rFonts w:hint="eastAsia" w:ascii="仿宋_GB2312" w:hAnsi="宋体" w:eastAsia="仿宋_GB2312" w:cs="宋体"/>
          <w:color w:val="000000"/>
          <w:kern w:val="0"/>
          <w:sz w:val="32"/>
          <w:szCs w:val="32"/>
          <w:lang w:val="en-US" w:eastAsia="zh-CN"/>
        </w:rPr>
        <w:t>361.53</w:t>
      </w:r>
      <w:r>
        <w:rPr>
          <w:rFonts w:ascii="仿宋_GB2312" w:hAnsi="宋体" w:eastAsia="仿宋_GB2312" w:cs="宋体"/>
          <w:color w:val="000000"/>
          <w:kern w:val="0"/>
          <w:sz w:val="32"/>
          <w:szCs w:val="32"/>
        </w:rPr>
        <w:t>万元，其他支出</w:t>
      </w:r>
      <w:r>
        <w:rPr>
          <w:rFonts w:hint="eastAsia" w:ascii="仿宋_GB2312" w:hAnsi="宋体" w:eastAsia="仿宋_GB2312" w:cs="宋体"/>
          <w:color w:val="000000"/>
          <w:kern w:val="0"/>
          <w:sz w:val="32"/>
          <w:szCs w:val="32"/>
        </w:rPr>
        <w:t>预算数0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资金总体</w:t>
      </w:r>
      <w:r>
        <w:rPr>
          <w:rFonts w:hint="eastAsia" w:ascii="仿宋_GB2312" w:hAnsi="宋体" w:eastAsia="仿宋_GB2312" w:cs="宋体"/>
          <w:color w:val="000000"/>
          <w:kern w:val="0"/>
          <w:sz w:val="32"/>
          <w:szCs w:val="32"/>
        </w:rPr>
        <w:t>支出</w:t>
      </w:r>
      <w:r>
        <w:rPr>
          <w:rFonts w:hint="eastAsia" w:ascii="仿宋_GB2312" w:hAnsi="仿宋" w:eastAsia="仿宋_GB2312"/>
          <w:sz w:val="32"/>
          <w:szCs w:val="32"/>
          <w:lang w:val="en-US" w:eastAsia="zh-CN"/>
        </w:rPr>
        <w:t>717.75</w:t>
      </w:r>
      <w:r>
        <w:rPr>
          <w:rFonts w:hint="eastAsia" w:ascii="仿宋_GB2312" w:hAnsi="仿宋" w:eastAsia="仿宋_GB2312"/>
          <w:sz w:val="32"/>
          <w:szCs w:val="32"/>
        </w:rPr>
        <w:t>万元</w:t>
      </w:r>
      <w:r>
        <w:rPr>
          <w:rFonts w:ascii="仿宋_GB2312" w:hAnsi="宋体" w:eastAsia="仿宋_GB2312" w:cs="宋体"/>
          <w:color w:val="000000"/>
          <w:kern w:val="0"/>
          <w:sz w:val="32"/>
          <w:szCs w:val="32"/>
        </w:rPr>
        <w:t>万元，其中，基本支出</w:t>
      </w:r>
      <w:r>
        <w:rPr>
          <w:rFonts w:hint="eastAsia" w:ascii="仿宋_GB2312" w:hAnsi="宋体" w:eastAsia="仿宋_GB2312" w:cs="宋体"/>
          <w:color w:val="000000"/>
          <w:kern w:val="0"/>
          <w:sz w:val="32"/>
          <w:szCs w:val="32"/>
          <w:lang w:val="en-US" w:eastAsia="zh-CN"/>
        </w:rPr>
        <w:t>511.57</w:t>
      </w:r>
      <w:r>
        <w:rPr>
          <w:rFonts w:ascii="仿宋_GB2312" w:hAnsi="宋体" w:eastAsia="仿宋_GB2312" w:cs="宋体"/>
          <w:color w:val="000000"/>
          <w:kern w:val="0"/>
          <w:sz w:val="32"/>
          <w:szCs w:val="32"/>
        </w:rPr>
        <w:t>万元，项目</w:t>
      </w:r>
      <w:r>
        <w:rPr>
          <w:rFonts w:hint="eastAsia" w:ascii="仿宋_GB2312" w:hAnsi="宋体" w:eastAsia="仿宋_GB2312" w:cs="宋体"/>
          <w:color w:val="000000"/>
          <w:kern w:val="0"/>
          <w:sz w:val="32"/>
          <w:szCs w:val="32"/>
        </w:rPr>
        <w:t>支出</w:t>
      </w:r>
      <w:r>
        <w:rPr>
          <w:rFonts w:hint="eastAsia" w:ascii="仿宋_GB2312" w:hAnsi="宋体" w:eastAsia="仿宋_GB2312" w:cs="宋体"/>
          <w:color w:val="000000"/>
          <w:kern w:val="0"/>
          <w:sz w:val="32"/>
          <w:szCs w:val="32"/>
          <w:lang w:val="en-US" w:eastAsia="zh-CN"/>
        </w:rPr>
        <w:t>177.18</w:t>
      </w:r>
      <w:r>
        <w:rPr>
          <w:rFonts w:ascii="仿宋_GB2312" w:hAnsi="宋体" w:eastAsia="仿宋_GB2312" w:cs="宋体"/>
          <w:color w:val="000000"/>
          <w:kern w:val="0"/>
          <w:sz w:val="32"/>
          <w:szCs w:val="32"/>
        </w:rPr>
        <w:t>万元，其他支出</w:t>
      </w:r>
      <w:r>
        <w:rPr>
          <w:rFonts w:hint="eastAsia" w:ascii="仿宋_GB2312" w:hAnsi="宋体" w:eastAsia="仿宋_GB2312" w:cs="宋体"/>
          <w:color w:val="000000"/>
          <w:kern w:val="0"/>
          <w:sz w:val="32"/>
          <w:szCs w:val="32"/>
        </w:rPr>
        <w:t>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执行率为</w:t>
      </w:r>
      <w:r>
        <w:rPr>
          <w:rFonts w:hint="eastAsia" w:ascii="仿宋_GB2312" w:hAnsi="宋体" w:eastAsia="仿宋_GB2312" w:cs="宋体"/>
          <w:color w:val="000000"/>
          <w:kern w:val="0"/>
          <w:sz w:val="32"/>
          <w:szCs w:val="32"/>
          <w:lang w:val="en-US" w:eastAsia="zh-CN"/>
        </w:rPr>
        <w:t>72</w:t>
      </w:r>
      <w:r>
        <w:rPr>
          <w:rFonts w:hint="eastAsia" w:ascii="仿宋_GB2312" w:hAnsi="宋体" w:eastAsia="仿宋_GB2312" w:cs="宋体"/>
          <w:color w:val="000000"/>
          <w:kern w:val="0"/>
          <w:sz w:val="32"/>
          <w:szCs w:val="32"/>
        </w:rPr>
        <w:t>%。</w:t>
      </w:r>
    </w:p>
    <w:p w14:paraId="5C654A51">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14:paraId="4C9E2BD0">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（一）产出完成情况分析</w:t>
      </w:r>
    </w:p>
    <w:p w14:paraId="0FE5DDED">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14:paraId="0B9FAF24">
      <w:pPr>
        <w:spacing w:line="600" w:lineRule="exact"/>
        <w:ind w:left="105" w:leftChars="50" w:firstLine="480" w:firstLineChars="15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rPr>
        <w:t>房租租用面积</w:t>
      </w:r>
      <w:r>
        <w:rPr>
          <w:rFonts w:hint="eastAsia" w:ascii="仿宋_GB2312" w:hAnsi="宋体" w:eastAsia="仿宋_GB2312" w:cs="宋体"/>
          <w:color w:val="000000"/>
          <w:kern w:val="0"/>
          <w:sz w:val="32"/>
          <w:szCs w:val="32"/>
          <w:lang w:val="en-US" w:eastAsia="zh-CN"/>
        </w:rPr>
        <w:t>295.98</w:t>
      </w:r>
      <w:r>
        <w:rPr>
          <w:rFonts w:hint="eastAsia" w:ascii="仿宋_GB2312" w:hAnsi="宋体" w:eastAsia="仿宋_GB2312" w:cs="宋体"/>
          <w:color w:val="000000"/>
          <w:kern w:val="0"/>
          <w:sz w:val="32"/>
          <w:szCs w:val="32"/>
        </w:rPr>
        <w:t>平米</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支付抚恤金</w:t>
      </w:r>
      <w:r>
        <w:rPr>
          <w:rFonts w:hint="eastAsia" w:ascii="仿宋_GB2312" w:hAnsi="宋体" w:eastAsia="仿宋_GB2312" w:cs="宋体"/>
          <w:color w:val="000000"/>
          <w:kern w:val="0"/>
          <w:sz w:val="32"/>
          <w:szCs w:val="32"/>
          <w:lang w:val="en-US" w:eastAsia="zh-CN"/>
        </w:rPr>
        <w:t>115.65万元不突破发放总额</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互联网接入费项目在产出指标的数量指标上满足10条以内网线畅通的要求，在年度标准值范围内，软件运维费实现了2个站点的服务。</w:t>
      </w:r>
    </w:p>
    <w:p w14:paraId="6573157B">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p>
    <w:p w14:paraId="24BB5595">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保证租用房屋的整洁，宜于办公，</w:t>
      </w:r>
      <w:r>
        <w:rPr>
          <w:rFonts w:hint="eastAsia" w:ascii="仿宋_GB2312" w:hAnsi="宋体" w:eastAsia="仿宋_GB2312" w:cs="宋体"/>
          <w:color w:val="000000"/>
          <w:kern w:val="0"/>
          <w:sz w:val="32"/>
          <w:szCs w:val="32"/>
          <w:lang w:eastAsia="zh-CN"/>
        </w:rPr>
        <w:t>抚恤金</w:t>
      </w:r>
      <w:r>
        <w:rPr>
          <w:rFonts w:hint="eastAsia" w:ascii="仿宋_GB2312" w:hAnsi="宋体" w:eastAsia="仿宋_GB2312" w:cs="宋体"/>
          <w:color w:val="000000"/>
          <w:kern w:val="0"/>
          <w:sz w:val="32"/>
          <w:szCs w:val="32"/>
        </w:rPr>
        <w:t>项目按照国家有关规定及时发放，</w:t>
      </w:r>
      <w:r>
        <w:rPr>
          <w:rFonts w:hint="eastAsia" w:ascii="仿宋_GB2312" w:hAnsi="宋体" w:eastAsia="仿宋_GB2312" w:cs="宋体"/>
          <w:color w:val="000000"/>
          <w:kern w:val="0"/>
          <w:sz w:val="32"/>
          <w:szCs w:val="32"/>
          <w:lang w:eastAsia="zh-CN"/>
        </w:rPr>
        <w:t>维护社会稳定，互联网环境安全，</w:t>
      </w:r>
      <w:r>
        <w:rPr>
          <w:rFonts w:hint="eastAsia" w:ascii="仿宋_GB2312" w:hAnsi="宋体" w:eastAsia="仿宋_GB2312" w:cs="宋体"/>
          <w:color w:val="000000"/>
          <w:kern w:val="0"/>
          <w:sz w:val="32"/>
          <w:szCs w:val="32"/>
        </w:rPr>
        <w:t>保证正常</w:t>
      </w:r>
      <w:r>
        <w:rPr>
          <w:rFonts w:hint="eastAsia" w:ascii="仿宋_GB2312" w:hAnsi="宋体" w:eastAsia="仿宋_GB2312" w:cs="宋体"/>
          <w:color w:val="000000"/>
          <w:kern w:val="0"/>
          <w:sz w:val="32"/>
          <w:szCs w:val="32"/>
          <w:lang w:eastAsia="zh-CN"/>
        </w:rPr>
        <w:t>办公</w:t>
      </w:r>
      <w:r>
        <w:rPr>
          <w:rFonts w:hint="eastAsia" w:ascii="仿宋_GB2312" w:hAnsi="宋体" w:eastAsia="仿宋_GB2312" w:cs="宋体"/>
          <w:color w:val="000000"/>
          <w:kern w:val="0"/>
          <w:sz w:val="32"/>
          <w:szCs w:val="32"/>
        </w:rPr>
        <w:t>运行。</w:t>
      </w:r>
    </w:p>
    <w:p w14:paraId="6FDC436C">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3.产出</w:t>
      </w:r>
      <w:r>
        <w:rPr>
          <w:rFonts w:ascii="仿宋_GB2312" w:hAnsi="宋体" w:eastAsia="仿宋_GB2312" w:cs="宋体"/>
          <w:color w:val="000000"/>
          <w:kern w:val="0"/>
          <w:sz w:val="32"/>
          <w:szCs w:val="32"/>
        </w:rPr>
        <w:t>进度</w:t>
      </w:r>
    </w:p>
    <w:p w14:paraId="783CAAD2">
      <w:pPr>
        <w:spacing w:line="600" w:lineRule="exact"/>
        <w:ind w:left="105" w:leftChars="50" w:firstLine="480" w:firstLineChars="15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整体</w:t>
      </w:r>
      <w:r>
        <w:rPr>
          <w:rFonts w:hint="eastAsia" w:ascii="仿宋_GB2312" w:hAnsi="宋体" w:eastAsia="仿宋_GB2312" w:cs="宋体"/>
          <w:color w:val="000000"/>
          <w:kern w:val="0"/>
          <w:sz w:val="32"/>
          <w:szCs w:val="32"/>
        </w:rPr>
        <w:t>项目支付在</w:t>
      </w:r>
      <w:r>
        <w:rPr>
          <w:rFonts w:hint="eastAsia" w:ascii="仿宋_GB2312" w:hAnsi="宋体" w:eastAsia="仿宋_GB2312" w:cs="宋体"/>
          <w:color w:val="000000"/>
          <w:kern w:val="0"/>
          <w:sz w:val="32"/>
          <w:szCs w:val="32"/>
          <w:lang w:eastAsia="zh-CN"/>
        </w:rPr>
        <w:t>2024</w:t>
      </w:r>
      <w:r>
        <w:rPr>
          <w:rFonts w:hint="eastAsia" w:ascii="仿宋_GB2312" w:hAnsi="宋体" w:eastAsia="仿宋_GB2312" w:cs="宋体"/>
          <w:color w:val="000000"/>
          <w:kern w:val="0"/>
          <w:sz w:val="32"/>
          <w:szCs w:val="32"/>
        </w:rPr>
        <w:t>年12月31日前执行率</w:t>
      </w:r>
      <w:r>
        <w:rPr>
          <w:rFonts w:hint="eastAsia" w:ascii="仿宋_GB2312" w:hAnsi="宋体" w:eastAsia="仿宋_GB2312" w:cs="宋体"/>
          <w:color w:val="000000"/>
          <w:kern w:val="0"/>
          <w:sz w:val="32"/>
          <w:szCs w:val="32"/>
          <w:lang w:val="en-US" w:eastAsia="zh-CN"/>
        </w:rPr>
        <w:t>49</w:t>
      </w:r>
      <w:r>
        <w:rPr>
          <w:rFonts w:hint="eastAsia"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eastAsia="zh-CN"/>
        </w:rPr>
        <w:t>，支付进度慢的项目是机动经费抚恤金项目，</w:t>
      </w:r>
      <w:r>
        <w:rPr>
          <w:rFonts w:hint="eastAsia" w:ascii="仿宋_GB2312" w:hAnsi="宋体" w:eastAsia="仿宋_GB2312" w:cs="宋体"/>
          <w:color w:val="000000"/>
          <w:kern w:val="0"/>
          <w:sz w:val="32"/>
          <w:szCs w:val="32"/>
          <w:lang w:val="en-US" w:eastAsia="zh-CN"/>
        </w:rPr>
        <w:t>除机动经费外</w:t>
      </w:r>
      <w:r>
        <w:rPr>
          <w:rFonts w:hint="eastAsia" w:ascii="仿宋_GB2312" w:hAnsi="宋体" w:eastAsia="仿宋_GB2312" w:cs="宋体"/>
          <w:color w:val="000000"/>
          <w:kern w:val="0"/>
          <w:sz w:val="32"/>
          <w:szCs w:val="32"/>
          <w:lang w:eastAsia="zh-CN"/>
        </w:rPr>
        <w:t>其他项目全部</w:t>
      </w:r>
      <w:r>
        <w:rPr>
          <w:rFonts w:hint="eastAsia" w:ascii="仿宋_GB2312" w:hAnsi="宋体" w:eastAsia="仿宋_GB2312" w:cs="宋体"/>
          <w:color w:val="000000"/>
          <w:kern w:val="0"/>
          <w:sz w:val="32"/>
          <w:szCs w:val="32"/>
          <w:lang w:val="en-US" w:eastAsia="zh-CN"/>
        </w:rPr>
        <w:t>100%执行。原因是2024年当年发生的离退休人员去世情况较预期低。</w:t>
      </w:r>
    </w:p>
    <w:p w14:paraId="304DD5A4">
      <w:pPr>
        <w:spacing w:line="600" w:lineRule="exact"/>
        <w:ind w:left="105" w:leftChars="50"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r>
        <w:rPr>
          <w:rFonts w:hint="eastAsia" w:ascii="仿宋_GB2312" w:hAnsi="宋体" w:eastAsia="仿宋_GB2312" w:cs="宋体"/>
          <w:color w:val="000000"/>
          <w:kern w:val="0"/>
          <w:sz w:val="32"/>
          <w:szCs w:val="32"/>
        </w:rPr>
        <w:t xml:space="preserve">  </w:t>
      </w:r>
    </w:p>
    <w:p w14:paraId="58B721AA">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房租实际支付金额</w:t>
      </w:r>
      <w:r>
        <w:rPr>
          <w:rFonts w:hint="eastAsia" w:ascii="仿宋_GB2312" w:hAnsi="宋体" w:eastAsia="仿宋_GB2312" w:cs="宋体"/>
          <w:color w:val="000000"/>
          <w:kern w:val="0"/>
          <w:sz w:val="32"/>
          <w:szCs w:val="32"/>
          <w:lang w:val="en-US" w:eastAsia="zh-CN"/>
        </w:rPr>
        <w:t>58.23</w:t>
      </w:r>
      <w:r>
        <w:rPr>
          <w:rFonts w:hint="eastAsia" w:ascii="仿宋_GB2312" w:hAnsi="宋体" w:eastAsia="仿宋_GB2312" w:cs="宋体"/>
          <w:color w:val="000000"/>
          <w:kern w:val="0"/>
          <w:sz w:val="32"/>
          <w:szCs w:val="32"/>
        </w:rPr>
        <w:t>万元，机动经费支付金额</w:t>
      </w:r>
      <w:r>
        <w:rPr>
          <w:rFonts w:hint="eastAsia" w:ascii="仿宋_GB2312" w:hAnsi="宋体" w:eastAsia="仿宋_GB2312" w:cs="宋体"/>
          <w:color w:val="000000"/>
          <w:kern w:val="0"/>
          <w:sz w:val="32"/>
          <w:szCs w:val="32"/>
          <w:lang w:val="en-US" w:eastAsia="zh-CN"/>
        </w:rPr>
        <w:t>115.65</w:t>
      </w:r>
      <w:r>
        <w:rPr>
          <w:rFonts w:hint="eastAsia" w:ascii="仿宋_GB2312" w:hAnsi="宋体" w:eastAsia="仿宋_GB2312" w:cs="宋体"/>
          <w:color w:val="000000"/>
          <w:kern w:val="0"/>
          <w:sz w:val="32"/>
          <w:szCs w:val="32"/>
        </w:rPr>
        <w:t>万元，其他支出3.</w:t>
      </w: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 xml:space="preserve">万元。                                </w:t>
      </w:r>
    </w:p>
    <w:p w14:paraId="3C40F56E">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（二）效果</w:t>
      </w:r>
      <w:r>
        <w:rPr>
          <w:rFonts w:ascii="仿宋_GB2312" w:hAnsi="宋体" w:eastAsia="仿宋_GB2312" w:cs="宋体"/>
          <w:color w:val="000000"/>
          <w:kern w:val="0"/>
          <w:sz w:val="32"/>
          <w:szCs w:val="32"/>
        </w:rPr>
        <w:t>实现情况分析</w:t>
      </w:r>
    </w:p>
    <w:p w14:paraId="456B0B1D">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1.经济</w:t>
      </w:r>
      <w:r>
        <w:rPr>
          <w:rFonts w:ascii="仿宋_GB2312" w:hAnsi="宋体" w:eastAsia="仿宋_GB2312" w:cs="宋体"/>
          <w:color w:val="000000"/>
          <w:kern w:val="0"/>
          <w:sz w:val="32"/>
          <w:szCs w:val="32"/>
        </w:rPr>
        <w:t>效益</w:t>
      </w:r>
    </w:p>
    <w:p w14:paraId="7F157D99">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房租项目保障了</w:t>
      </w:r>
      <w:r>
        <w:rPr>
          <w:rFonts w:hint="eastAsia" w:ascii="仿宋_GB2312" w:hAnsi="宋体" w:eastAsia="仿宋_GB2312" w:cs="宋体"/>
          <w:color w:val="000000"/>
          <w:kern w:val="0"/>
          <w:sz w:val="32"/>
          <w:szCs w:val="32"/>
          <w:lang w:val="en-US" w:eastAsia="zh-CN"/>
        </w:rPr>
        <w:t>日常运营和</w:t>
      </w:r>
      <w:r>
        <w:rPr>
          <w:rFonts w:hint="eastAsia" w:ascii="仿宋_GB2312" w:hAnsi="宋体" w:eastAsia="仿宋_GB2312" w:cs="宋体"/>
          <w:color w:val="000000"/>
          <w:kern w:val="0"/>
          <w:sz w:val="32"/>
          <w:szCs w:val="32"/>
        </w:rPr>
        <w:t>老干部的管理</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服务。</w:t>
      </w:r>
    </w:p>
    <w:p w14:paraId="4D06E993">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机动经费项目保障支付离退休去世人员抚恤金。</w:t>
      </w:r>
    </w:p>
    <w:p w14:paraId="5BAFE7D8">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其他项目保障单位的支出运行。</w:t>
      </w:r>
    </w:p>
    <w:p w14:paraId="7670CDC8">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2.社会效益</w:t>
      </w:r>
    </w:p>
    <w:p w14:paraId="3FE1A086">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保障了对离退休人员的服务，抚恤金按时足额发放，维护了社会的稳定团结。</w:t>
      </w:r>
    </w:p>
    <w:p w14:paraId="58C84A10">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3.环境效益</w:t>
      </w:r>
    </w:p>
    <w:p w14:paraId="19B69586">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无</w:t>
      </w:r>
    </w:p>
    <w:p w14:paraId="5F0133FD">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4.可持续</w:t>
      </w:r>
      <w:r>
        <w:rPr>
          <w:rFonts w:ascii="仿宋_GB2312" w:hAnsi="宋体" w:eastAsia="仿宋_GB2312" w:cs="宋体"/>
          <w:color w:val="000000"/>
          <w:kern w:val="0"/>
          <w:sz w:val="32"/>
          <w:szCs w:val="32"/>
        </w:rPr>
        <w:t>性影响</w:t>
      </w:r>
    </w:p>
    <w:p w14:paraId="4CECECA5">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无</w:t>
      </w:r>
    </w:p>
    <w:p w14:paraId="77808ACC">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5.服务对象</w:t>
      </w:r>
      <w:r>
        <w:rPr>
          <w:rFonts w:ascii="仿宋_GB2312" w:hAnsi="宋体" w:eastAsia="仿宋_GB2312" w:cs="宋体"/>
          <w:color w:val="000000"/>
          <w:kern w:val="0"/>
          <w:sz w:val="32"/>
          <w:szCs w:val="32"/>
        </w:rPr>
        <w:t>满意度</w:t>
      </w:r>
    </w:p>
    <w:p w14:paraId="6851FCF6">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保证在职人员、离退休人员及家属满意度100%。</w:t>
      </w:r>
    </w:p>
    <w:p w14:paraId="52CB0562">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14:paraId="097CBCED">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14:paraId="15F89A5A">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w:t>
      </w:r>
      <w:r>
        <w:rPr>
          <w:rFonts w:hint="eastAsia" w:ascii="仿宋_GB2312" w:hAnsi="宋体" w:eastAsia="仿宋_GB2312" w:cs="宋体"/>
          <w:color w:val="000000"/>
          <w:kern w:val="0"/>
          <w:sz w:val="32"/>
          <w:szCs w:val="32"/>
        </w:rPr>
        <w:t>，现行制度满足工作需求。</w:t>
      </w:r>
    </w:p>
    <w:p w14:paraId="5CBAF7F3">
      <w:pPr>
        <w:spacing w:line="600" w:lineRule="exact"/>
        <w:ind w:left="105" w:leftChars="50" w:firstLine="480" w:firstLineChars="150"/>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rPr>
        <w:t>2.资金主要为财政拨款资金，严格按照国库等相关要求进行管理，日常使用合规，资金的</w:t>
      </w:r>
      <w:r>
        <w:rPr>
          <w:rFonts w:ascii="仿宋_GB2312" w:hAnsi="宋体" w:eastAsia="仿宋_GB2312" w:cs="宋体"/>
          <w:color w:val="000000"/>
          <w:kern w:val="0"/>
          <w:sz w:val="32"/>
          <w:szCs w:val="32"/>
        </w:rPr>
        <w:t>安全性</w:t>
      </w:r>
      <w:r>
        <w:rPr>
          <w:rFonts w:hint="eastAsia" w:ascii="仿宋_GB2312" w:hAnsi="宋体" w:eastAsia="仿宋_GB2312" w:cs="宋体"/>
          <w:color w:val="000000"/>
          <w:kern w:val="0"/>
          <w:sz w:val="32"/>
          <w:szCs w:val="32"/>
        </w:rPr>
        <w:t>有保障。</w:t>
      </w:r>
      <w:r>
        <w:rPr>
          <w:rFonts w:hint="eastAsia" w:ascii="仿宋_GB2312" w:hAnsi="宋体" w:eastAsia="仿宋_GB2312" w:cs="宋体"/>
          <w:color w:val="000000"/>
          <w:kern w:val="0"/>
          <w:sz w:val="32"/>
          <w:szCs w:val="32"/>
          <w:lang w:eastAsia="zh-CN"/>
        </w:rPr>
        <w:t>代管国合中心和成套局中心的离退休经费，严格按照有关文件精神执行落实相关经费。</w:t>
      </w:r>
    </w:p>
    <w:p w14:paraId="746DB7CA">
      <w:pPr>
        <w:spacing w:line="600" w:lineRule="exact"/>
        <w:ind w:left="105" w:leftChars="50"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w:t>
      </w:r>
      <w:r>
        <w:rPr>
          <w:rFonts w:hint="eastAsia" w:ascii="仿宋_GB2312" w:hAnsi="宋体" w:eastAsia="仿宋_GB2312" w:cs="宋体"/>
          <w:color w:val="000000"/>
          <w:kern w:val="0"/>
          <w:sz w:val="32"/>
          <w:szCs w:val="32"/>
        </w:rPr>
        <w:t>，全部经济业务应入账尽入账。</w:t>
      </w:r>
    </w:p>
    <w:p w14:paraId="22E6B5E2">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（二）资产管理</w:t>
      </w:r>
    </w:p>
    <w:p w14:paraId="256D4231">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现行资产管理制度可以满足日常管理需求，固定资产台帐完整，按时计提折旧，根据要求及时准确完成相关报表的填报。</w:t>
      </w:r>
    </w:p>
    <w:p w14:paraId="2F1E6E89">
      <w:pPr>
        <w:numPr>
          <w:ilvl w:val="0"/>
          <w:numId w:val="1"/>
        </w:numPr>
        <w:spacing w:line="600" w:lineRule="exact"/>
        <w:ind w:firstLine="640" w:firstLineChars="200"/>
        <w:rPr>
          <w:rFonts w:ascii="楷体_GB2312" w:eastAsia="楷体_GB2312"/>
          <w:sz w:val="32"/>
          <w:szCs w:val="32"/>
        </w:rPr>
      </w:pPr>
      <w:r>
        <w:rPr>
          <w:rFonts w:hint="eastAsia" w:ascii="楷体_GB2312" w:eastAsia="楷体_GB2312"/>
          <w:sz w:val="32"/>
          <w:szCs w:val="32"/>
        </w:rPr>
        <w:t>绩效</w:t>
      </w:r>
      <w:r>
        <w:rPr>
          <w:rFonts w:ascii="楷体_GB2312" w:eastAsia="楷体_GB2312"/>
          <w:sz w:val="32"/>
          <w:szCs w:val="32"/>
        </w:rPr>
        <w:t>管理</w:t>
      </w:r>
      <w:r>
        <w:rPr>
          <w:rFonts w:hint="eastAsia" w:ascii="楷体_GB2312" w:eastAsia="楷体_GB2312"/>
          <w:sz w:val="32"/>
          <w:szCs w:val="32"/>
        </w:rPr>
        <w:t xml:space="preserve"> </w:t>
      </w:r>
    </w:p>
    <w:p w14:paraId="7BFDB455">
      <w:pPr>
        <w:spacing w:line="600" w:lineRule="exact"/>
        <w:ind w:left="420" w:leftChars="200"/>
        <w:rPr>
          <w:rFonts w:ascii="楷体_GB2312" w:eastAsia="楷体_GB2312"/>
          <w:sz w:val="32"/>
          <w:szCs w:val="32"/>
        </w:rPr>
      </w:pPr>
      <w:r>
        <w:rPr>
          <w:rFonts w:hint="eastAsia" w:ascii="楷体_GB2312" w:eastAsia="楷体_GB2312"/>
          <w:sz w:val="32"/>
          <w:szCs w:val="32"/>
        </w:rPr>
        <w:t xml:space="preserve">  </w:t>
      </w:r>
      <w:r>
        <w:rPr>
          <w:rFonts w:hint="eastAsia" w:ascii="仿宋_GB2312" w:hAnsi="宋体" w:eastAsia="仿宋_GB2312" w:cs="宋体"/>
          <w:color w:val="000000"/>
          <w:kern w:val="0"/>
          <w:sz w:val="32"/>
          <w:szCs w:val="32"/>
        </w:rPr>
        <w:t>绩效管理按照相关要求执行，满足目前管理需求。</w:t>
      </w:r>
    </w:p>
    <w:p w14:paraId="25BDB6EE">
      <w:pPr>
        <w:numPr>
          <w:ilvl w:val="0"/>
          <w:numId w:val="1"/>
        </w:numPr>
        <w:spacing w:line="600" w:lineRule="exact"/>
        <w:ind w:firstLine="640" w:firstLineChars="200"/>
        <w:rPr>
          <w:rFonts w:ascii="楷体_GB2312" w:eastAsia="楷体_GB2312"/>
          <w:sz w:val="32"/>
          <w:szCs w:val="32"/>
        </w:rPr>
      </w:pPr>
      <w:r>
        <w:rPr>
          <w:rFonts w:hint="eastAsia" w:ascii="楷体_GB2312" w:eastAsia="楷体_GB2312"/>
          <w:sz w:val="32"/>
          <w:szCs w:val="32"/>
        </w:rPr>
        <w:t>结转结余率</w:t>
      </w:r>
    </w:p>
    <w:p w14:paraId="68D23F0B">
      <w:pPr>
        <w:spacing w:line="600" w:lineRule="exact"/>
        <w:ind w:left="420" w:leftChars="200"/>
        <w:rPr>
          <w:rFonts w:ascii="楷体_GB2312" w:eastAsia="楷体_GB2312"/>
          <w:sz w:val="32"/>
          <w:szCs w:val="32"/>
        </w:rPr>
      </w:pPr>
      <w:r>
        <w:rPr>
          <w:rFonts w:hint="eastAsia" w:ascii="楷体_GB2312" w:eastAsia="楷体_GB2312"/>
          <w:sz w:val="32"/>
          <w:szCs w:val="32"/>
        </w:rPr>
        <w:t xml:space="preserve"> </w:t>
      </w:r>
      <w:r>
        <w:rPr>
          <w:rFonts w:hint="eastAsia" w:ascii="仿宋_GB2312" w:hAnsi="宋体" w:eastAsia="仿宋_GB2312" w:cs="宋体"/>
          <w:color w:val="000000"/>
          <w:kern w:val="0"/>
          <w:sz w:val="32"/>
          <w:szCs w:val="32"/>
        </w:rPr>
        <w:t xml:space="preserve"> 在</w:t>
      </w:r>
      <w:r>
        <w:rPr>
          <w:rFonts w:hint="eastAsia" w:ascii="仿宋_GB2312" w:hAnsi="宋体" w:eastAsia="仿宋_GB2312" w:cs="宋体"/>
          <w:color w:val="000000"/>
          <w:kern w:val="0"/>
          <w:sz w:val="32"/>
          <w:szCs w:val="32"/>
          <w:lang w:eastAsia="zh-CN"/>
        </w:rPr>
        <w:t>2024</w:t>
      </w:r>
      <w:r>
        <w:rPr>
          <w:rFonts w:hint="eastAsia" w:ascii="仿宋_GB2312" w:hAnsi="宋体" w:eastAsia="仿宋_GB2312" w:cs="宋体"/>
          <w:color w:val="000000"/>
          <w:kern w:val="0"/>
          <w:sz w:val="32"/>
          <w:szCs w:val="32"/>
        </w:rPr>
        <w:t>年未使用结转结余资金。</w:t>
      </w:r>
    </w:p>
    <w:p w14:paraId="6C679045">
      <w:pPr>
        <w:numPr>
          <w:ilvl w:val="0"/>
          <w:numId w:val="1"/>
        </w:numPr>
        <w:spacing w:line="600" w:lineRule="exact"/>
        <w:ind w:firstLine="640" w:firstLineChars="200"/>
        <w:rPr>
          <w:rFonts w:ascii="楷体_GB2312" w:eastAsia="楷体_GB2312"/>
          <w:sz w:val="32"/>
          <w:szCs w:val="32"/>
        </w:rPr>
      </w:pPr>
      <w:r>
        <w:rPr>
          <w:rFonts w:hint="eastAsia" w:ascii="楷体_GB2312" w:eastAsia="楷体_GB2312"/>
          <w:sz w:val="32"/>
          <w:szCs w:val="32"/>
        </w:rPr>
        <w:t>单位</w:t>
      </w:r>
      <w:r>
        <w:rPr>
          <w:rFonts w:ascii="楷体_GB2312" w:eastAsia="楷体_GB2312"/>
          <w:sz w:val="32"/>
          <w:szCs w:val="32"/>
        </w:rPr>
        <w:t>预决算差异率</w:t>
      </w:r>
    </w:p>
    <w:p w14:paraId="6B0C06CF">
      <w:pPr>
        <w:spacing w:line="600" w:lineRule="exact"/>
        <w:ind w:firstLine="640" w:firstLineChars="200"/>
        <w:rPr>
          <w:rFonts w:hint="eastAsia" w:ascii="仿宋_GB2312" w:hAnsi="宋体" w:eastAsia="仿宋_GB2312" w:cs="宋体"/>
          <w:color w:val="000000"/>
          <w:kern w:val="0"/>
          <w:sz w:val="32"/>
          <w:szCs w:val="32"/>
        </w:rPr>
      </w:pPr>
      <w:r>
        <w:rPr>
          <w:rFonts w:hint="eastAsia" w:ascii="楷体_GB2312" w:eastAsia="楷体_GB2312"/>
          <w:sz w:val="32"/>
          <w:szCs w:val="32"/>
        </w:rPr>
        <w:t xml:space="preserve">  </w:t>
      </w:r>
      <w:r>
        <w:rPr>
          <w:rFonts w:hint="eastAsia" w:ascii="仿宋_GB2312" w:hAnsi="宋体" w:eastAsia="仿宋_GB2312" w:cs="宋体"/>
          <w:color w:val="000000"/>
          <w:kern w:val="0"/>
          <w:sz w:val="32"/>
          <w:szCs w:val="32"/>
          <w:lang w:eastAsia="zh-CN"/>
        </w:rPr>
        <w:t>2024</w:t>
      </w:r>
      <w:r>
        <w:rPr>
          <w:rFonts w:hint="eastAsia" w:ascii="仿宋_GB2312" w:hAnsi="宋体" w:eastAsia="仿宋_GB2312" w:cs="宋体"/>
          <w:color w:val="000000"/>
          <w:kern w:val="0"/>
          <w:sz w:val="32"/>
          <w:szCs w:val="32"/>
        </w:rPr>
        <w:t>年预决算差异率为</w:t>
      </w:r>
      <w:r>
        <w:rPr>
          <w:rFonts w:hint="eastAsia" w:ascii="仿宋_GB2312" w:hAnsi="宋体" w:eastAsia="仿宋_GB2312" w:cs="宋体"/>
          <w:color w:val="000000"/>
          <w:kern w:val="0"/>
          <w:sz w:val="32"/>
          <w:szCs w:val="32"/>
          <w:lang w:val="en-US" w:eastAsia="zh-CN"/>
        </w:rPr>
        <w:t>28</w:t>
      </w:r>
      <w:r>
        <w:rPr>
          <w:rFonts w:hint="eastAsia" w:ascii="仿宋_GB2312" w:hAnsi="宋体" w:eastAsia="仿宋_GB2312" w:cs="宋体"/>
          <w:color w:val="000000"/>
          <w:kern w:val="0"/>
          <w:sz w:val="32"/>
          <w:szCs w:val="32"/>
        </w:rPr>
        <w:t>%。</w:t>
      </w:r>
    </w:p>
    <w:p w14:paraId="25917E19">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14:paraId="1BB4FC05">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（一）评价</w:t>
      </w:r>
      <w:r>
        <w:rPr>
          <w:rFonts w:ascii="仿宋_GB2312" w:hAnsi="宋体" w:eastAsia="仿宋_GB2312" w:cs="宋体"/>
          <w:color w:val="000000"/>
          <w:kern w:val="0"/>
          <w:sz w:val="32"/>
          <w:szCs w:val="32"/>
        </w:rPr>
        <w:t>得分</w:t>
      </w:r>
      <w:r>
        <w:rPr>
          <w:rFonts w:hint="eastAsia" w:ascii="仿宋_GB2312" w:hAnsi="宋体" w:eastAsia="仿宋_GB2312" w:cs="宋体"/>
          <w:color w:val="000000"/>
          <w:kern w:val="0"/>
          <w:sz w:val="32"/>
          <w:szCs w:val="32"/>
        </w:rPr>
        <w:t>情况</w:t>
      </w:r>
    </w:p>
    <w:p w14:paraId="5E62B123">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中心</w:t>
      </w:r>
      <w:r>
        <w:rPr>
          <w:rFonts w:hint="eastAsia" w:ascii="仿宋_GB2312" w:eastAsia="仿宋_GB2312"/>
          <w:sz w:val="32"/>
          <w:szCs w:val="32"/>
        </w:rPr>
        <w:t>对</w:t>
      </w:r>
      <w:r>
        <w:rPr>
          <w:rFonts w:hint="eastAsia" w:ascii="仿宋_GB2312" w:eastAsia="仿宋_GB2312"/>
          <w:sz w:val="32"/>
          <w:szCs w:val="32"/>
          <w:lang w:eastAsia="zh-CN"/>
        </w:rPr>
        <w:t>2024</w:t>
      </w:r>
      <w:r>
        <w:rPr>
          <w:rFonts w:hint="eastAsia" w:ascii="仿宋_GB2312" w:eastAsia="仿宋_GB2312"/>
          <w:sz w:val="32"/>
          <w:szCs w:val="32"/>
        </w:rPr>
        <w:t>年度</w:t>
      </w:r>
      <w:r>
        <w:rPr>
          <w:rFonts w:hint="eastAsia" w:ascii="仿宋_GB2312" w:eastAsia="仿宋_GB2312"/>
          <w:sz w:val="32"/>
          <w:szCs w:val="32"/>
          <w:lang w:eastAsia="zh-CN"/>
        </w:rPr>
        <w:t>单位</w:t>
      </w:r>
      <w:r>
        <w:rPr>
          <w:rFonts w:hint="eastAsia" w:ascii="仿宋_GB2312" w:eastAsia="仿宋_GB2312"/>
          <w:sz w:val="32"/>
          <w:szCs w:val="32"/>
        </w:rPr>
        <w:t>项目支出实施了绩效评价，评价项目</w:t>
      </w:r>
      <w:r>
        <w:rPr>
          <w:rFonts w:hint="eastAsia" w:ascii="仿宋_GB2312" w:eastAsia="仿宋_GB2312"/>
          <w:sz w:val="32"/>
          <w:szCs w:val="32"/>
          <w:lang w:val="en-US" w:eastAsia="zh-CN"/>
        </w:rPr>
        <w:t>3</w:t>
      </w:r>
      <w:r>
        <w:rPr>
          <w:rFonts w:hint="eastAsia" w:ascii="仿宋_GB2312" w:eastAsia="仿宋_GB2312"/>
          <w:sz w:val="32"/>
          <w:szCs w:val="32"/>
        </w:rPr>
        <w:t>个，占</w:t>
      </w:r>
      <w:r>
        <w:rPr>
          <w:rFonts w:hint="eastAsia" w:ascii="仿宋_GB2312" w:eastAsia="仿宋_GB2312"/>
          <w:sz w:val="32"/>
          <w:szCs w:val="32"/>
          <w:lang w:eastAsia="zh-CN"/>
        </w:rPr>
        <w:t>单位</w:t>
      </w:r>
      <w:r>
        <w:rPr>
          <w:rFonts w:hint="eastAsia" w:ascii="仿宋_GB2312" w:eastAsia="仿宋_GB2312"/>
          <w:sz w:val="32"/>
          <w:szCs w:val="32"/>
        </w:rPr>
        <w:t>项目总数的</w:t>
      </w:r>
      <w:r>
        <w:rPr>
          <w:rFonts w:hint="eastAsia" w:ascii="仿宋_GB2312" w:eastAsia="仿宋_GB2312"/>
          <w:sz w:val="32"/>
          <w:szCs w:val="32"/>
          <w:lang w:val="en-US" w:eastAsia="zh-CN"/>
        </w:rPr>
        <w:t>100</w:t>
      </w:r>
      <w:r>
        <w:rPr>
          <w:rFonts w:hint="eastAsia" w:ascii="仿宋_GB2312" w:eastAsia="仿宋_GB2312"/>
          <w:sz w:val="32"/>
          <w:szCs w:val="32"/>
        </w:rPr>
        <w:t>%，涉及金额1</w:t>
      </w:r>
      <w:r>
        <w:rPr>
          <w:rFonts w:hint="eastAsia" w:ascii="仿宋_GB2312" w:eastAsia="仿宋_GB2312"/>
          <w:sz w:val="32"/>
          <w:szCs w:val="32"/>
          <w:lang w:val="en-US" w:eastAsia="zh-CN"/>
        </w:rPr>
        <w:t>17.18</w:t>
      </w:r>
      <w:r>
        <w:rPr>
          <w:rFonts w:hint="eastAsia" w:ascii="仿宋_GB2312" w:eastAsia="仿宋_GB2312"/>
          <w:sz w:val="32"/>
          <w:szCs w:val="32"/>
        </w:rPr>
        <w:t>万元。其中，</w:t>
      </w:r>
      <w:r>
        <w:rPr>
          <w:rFonts w:hint="eastAsia" w:ascii="仿宋_GB2312" w:eastAsia="仿宋_GB2312"/>
          <w:sz w:val="32"/>
          <w:szCs w:val="32"/>
          <w:lang w:eastAsia="zh-CN"/>
        </w:rPr>
        <w:t>单位</w:t>
      </w:r>
      <w:r>
        <w:rPr>
          <w:rFonts w:hint="eastAsia" w:ascii="仿宋_GB2312" w:eastAsia="仿宋_GB2312"/>
          <w:sz w:val="32"/>
          <w:szCs w:val="32"/>
        </w:rPr>
        <w:t>评价项目</w:t>
      </w:r>
      <w:r>
        <w:rPr>
          <w:rFonts w:hint="eastAsia" w:ascii="仿宋_GB2312" w:eastAsia="仿宋_GB2312"/>
          <w:sz w:val="32"/>
          <w:szCs w:val="32"/>
          <w:lang w:val="en-US" w:eastAsia="zh-CN"/>
        </w:rPr>
        <w:t>3</w:t>
      </w:r>
      <w:r>
        <w:rPr>
          <w:rFonts w:hint="eastAsia" w:ascii="仿宋_GB2312" w:eastAsia="仿宋_GB2312"/>
          <w:sz w:val="32"/>
          <w:szCs w:val="32"/>
        </w:rPr>
        <w:t>个，涉及金额1</w:t>
      </w:r>
      <w:r>
        <w:rPr>
          <w:rFonts w:hint="eastAsia" w:ascii="仿宋_GB2312" w:eastAsia="仿宋_GB2312"/>
          <w:sz w:val="32"/>
          <w:szCs w:val="32"/>
          <w:lang w:val="en-US" w:eastAsia="zh-CN"/>
        </w:rPr>
        <w:t>17.18</w:t>
      </w:r>
      <w:r>
        <w:rPr>
          <w:rFonts w:hint="eastAsia" w:ascii="仿宋_GB2312" w:eastAsia="仿宋_GB2312"/>
          <w:sz w:val="32"/>
          <w:szCs w:val="32"/>
        </w:rPr>
        <w:t>万元，评价得分在90（含）-100分的</w:t>
      </w:r>
      <w:r>
        <w:rPr>
          <w:rFonts w:hint="eastAsia" w:ascii="仿宋_GB2312" w:eastAsia="仿宋_GB2312"/>
          <w:sz w:val="32"/>
          <w:szCs w:val="32"/>
          <w:lang w:val="en-US" w:eastAsia="zh-CN"/>
        </w:rPr>
        <w:t>3</w:t>
      </w:r>
      <w:r>
        <w:rPr>
          <w:rFonts w:hint="eastAsia" w:ascii="仿宋_GB2312" w:eastAsia="仿宋_GB2312"/>
          <w:sz w:val="32"/>
          <w:szCs w:val="32"/>
        </w:rPr>
        <w:t>个、</w:t>
      </w:r>
      <w:r>
        <w:rPr>
          <w:rFonts w:ascii="仿宋_GB2312" w:eastAsia="仿宋_GB2312"/>
          <w:sz w:val="32"/>
          <w:szCs w:val="32"/>
        </w:rPr>
        <w:t>评价得分在80（含）-90分的</w:t>
      </w:r>
      <w:r>
        <w:rPr>
          <w:rFonts w:hint="eastAsia" w:ascii="仿宋_GB2312" w:eastAsia="仿宋_GB2312"/>
          <w:sz w:val="32"/>
          <w:szCs w:val="32"/>
        </w:rPr>
        <w:t>0个、</w:t>
      </w:r>
      <w:r>
        <w:rPr>
          <w:rFonts w:ascii="仿宋_GB2312" w:eastAsia="仿宋_GB2312"/>
          <w:sz w:val="32"/>
          <w:szCs w:val="32"/>
        </w:rPr>
        <w:t>评价得分在60（含）-80分的</w:t>
      </w:r>
      <w:r>
        <w:rPr>
          <w:rFonts w:hint="eastAsia" w:ascii="仿宋_GB2312" w:eastAsia="仿宋_GB2312"/>
          <w:sz w:val="32"/>
          <w:szCs w:val="32"/>
        </w:rPr>
        <w:t>0个、</w:t>
      </w:r>
      <w:r>
        <w:rPr>
          <w:rFonts w:ascii="仿宋_GB2312" w:eastAsia="仿宋_GB2312"/>
          <w:sz w:val="32"/>
          <w:szCs w:val="32"/>
        </w:rPr>
        <w:t>评价得分在60分以下的</w:t>
      </w:r>
      <w:r>
        <w:rPr>
          <w:rFonts w:hint="eastAsia" w:ascii="仿宋_GB2312" w:eastAsia="仿宋_GB2312"/>
          <w:sz w:val="32"/>
          <w:szCs w:val="32"/>
        </w:rPr>
        <w:t>0个。单位自评项目</w:t>
      </w:r>
      <w:r>
        <w:rPr>
          <w:rFonts w:hint="eastAsia" w:ascii="仿宋_GB2312" w:eastAsia="仿宋_GB2312"/>
          <w:sz w:val="32"/>
          <w:szCs w:val="32"/>
          <w:lang w:val="en-US" w:eastAsia="zh-CN"/>
        </w:rPr>
        <w:t>3</w:t>
      </w:r>
      <w:r>
        <w:rPr>
          <w:rFonts w:hint="eastAsia" w:ascii="仿宋_GB2312" w:eastAsia="仿宋_GB2312"/>
          <w:sz w:val="32"/>
          <w:szCs w:val="32"/>
        </w:rPr>
        <w:t>个，涉及金额1</w:t>
      </w:r>
      <w:r>
        <w:rPr>
          <w:rFonts w:hint="eastAsia" w:ascii="仿宋_GB2312" w:eastAsia="仿宋_GB2312"/>
          <w:sz w:val="32"/>
          <w:szCs w:val="32"/>
          <w:lang w:val="en-US" w:eastAsia="zh-CN"/>
        </w:rPr>
        <w:t>17.18</w:t>
      </w:r>
      <w:r>
        <w:rPr>
          <w:rFonts w:hint="eastAsia" w:ascii="仿宋_GB2312" w:eastAsia="仿宋_GB2312"/>
          <w:sz w:val="32"/>
          <w:szCs w:val="32"/>
        </w:rPr>
        <w:t>万元，评价得分在90（含）-100分的</w:t>
      </w:r>
      <w:r>
        <w:rPr>
          <w:rFonts w:hint="eastAsia" w:ascii="仿宋_GB2312" w:eastAsia="仿宋_GB2312"/>
          <w:sz w:val="32"/>
          <w:szCs w:val="32"/>
          <w:lang w:val="en-US" w:eastAsia="zh-CN"/>
        </w:rPr>
        <w:t>3个</w:t>
      </w:r>
      <w:r>
        <w:rPr>
          <w:rFonts w:hint="eastAsia" w:ascii="仿宋_GB2312" w:eastAsia="仿宋_GB2312"/>
          <w:sz w:val="32"/>
          <w:szCs w:val="32"/>
        </w:rPr>
        <w:t>、</w:t>
      </w:r>
      <w:r>
        <w:rPr>
          <w:rFonts w:ascii="仿宋_GB2312" w:eastAsia="仿宋_GB2312"/>
          <w:sz w:val="32"/>
          <w:szCs w:val="32"/>
        </w:rPr>
        <w:t>评价得分在80（含）-90分的</w:t>
      </w:r>
      <w:r>
        <w:rPr>
          <w:rFonts w:hint="eastAsia" w:ascii="仿宋_GB2312" w:eastAsia="仿宋_GB2312"/>
          <w:sz w:val="32"/>
          <w:szCs w:val="32"/>
        </w:rPr>
        <w:t>0个、</w:t>
      </w:r>
      <w:r>
        <w:rPr>
          <w:rFonts w:ascii="仿宋_GB2312" w:eastAsia="仿宋_GB2312"/>
          <w:sz w:val="32"/>
          <w:szCs w:val="32"/>
        </w:rPr>
        <w:t>评价得分在60（含）-80分的</w:t>
      </w:r>
      <w:r>
        <w:rPr>
          <w:rFonts w:hint="eastAsia" w:ascii="仿宋_GB2312" w:eastAsia="仿宋_GB2312"/>
          <w:sz w:val="32"/>
          <w:szCs w:val="32"/>
        </w:rPr>
        <w:t>0个、</w:t>
      </w:r>
      <w:r>
        <w:rPr>
          <w:rFonts w:ascii="仿宋_GB2312" w:eastAsia="仿宋_GB2312"/>
          <w:sz w:val="32"/>
          <w:szCs w:val="32"/>
        </w:rPr>
        <w:t>评价得分在60分以下的</w:t>
      </w:r>
      <w:r>
        <w:rPr>
          <w:rFonts w:hint="eastAsia" w:ascii="仿宋_GB2312" w:eastAsia="仿宋_GB2312"/>
          <w:sz w:val="32"/>
          <w:szCs w:val="32"/>
        </w:rPr>
        <w:t xml:space="preserve">0个。 </w:t>
      </w:r>
    </w:p>
    <w:p w14:paraId="477970E3">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（二）存在的问题及原因分析</w:t>
      </w:r>
    </w:p>
    <w:p w14:paraId="36ACA969">
      <w:pPr>
        <w:spacing w:line="360" w:lineRule="auto"/>
        <w:ind w:firstLine="640" w:firstLineChars="200"/>
        <w:outlineLvl w:val="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中心</w:t>
      </w:r>
      <w:r>
        <w:rPr>
          <w:rFonts w:hint="eastAsia" w:ascii="仿宋_GB2312" w:hAnsi="宋体" w:eastAsia="仿宋_GB2312" w:cs="宋体"/>
          <w:color w:val="000000"/>
          <w:kern w:val="0"/>
          <w:sz w:val="32"/>
          <w:szCs w:val="32"/>
        </w:rPr>
        <w:t>的项目主要是保障单位日常运行，无其他项目支出，在项目实施方案中，项目较为单一，目标内容制定范围</w:t>
      </w:r>
      <w:r>
        <w:rPr>
          <w:rFonts w:hint="eastAsia" w:ascii="仿宋_GB2312" w:hAnsi="宋体" w:eastAsia="仿宋_GB2312" w:cs="宋体"/>
          <w:color w:val="000000"/>
          <w:kern w:val="0"/>
          <w:sz w:val="32"/>
          <w:szCs w:val="32"/>
          <w:lang w:eastAsia="zh-CN"/>
        </w:rPr>
        <w:t>有限</w:t>
      </w:r>
      <w:r>
        <w:rPr>
          <w:rFonts w:hint="eastAsia" w:ascii="仿宋_GB2312" w:hAnsi="宋体" w:eastAsia="仿宋_GB2312" w:cs="宋体"/>
          <w:color w:val="000000"/>
          <w:kern w:val="0"/>
          <w:sz w:val="32"/>
          <w:szCs w:val="32"/>
        </w:rPr>
        <w:t>，对项目具体实施指导性不强。</w:t>
      </w:r>
    </w:p>
    <w:p w14:paraId="0B16ECB8">
      <w:pPr>
        <w:spacing w:line="600" w:lineRule="exact"/>
        <w:ind w:firstLine="640" w:firstLineChars="200"/>
        <w:rPr>
          <w:rFonts w:ascii="仿宋_GB2312" w:hAnsi="宋体" w:eastAsia="仿宋_GB2312" w:cs="宋体"/>
          <w:color w:val="000000"/>
          <w:kern w:val="0"/>
          <w:sz w:val="32"/>
          <w:szCs w:val="32"/>
        </w:rPr>
      </w:pPr>
      <w:r>
        <w:rPr>
          <w:rFonts w:hint="eastAsia" w:ascii="黑体" w:hAnsi="黑体" w:eastAsia="黑体" w:cs="宋体"/>
          <w:color w:val="000000"/>
          <w:kern w:val="0"/>
          <w:sz w:val="32"/>
          <w:szCs w:val="32"/>
        </w:rPr>
        <w:t>六、措施建议</w:t>
      </w:r>
    </w:p>
    <w:p w14:paraId="4639D629">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我单位将在今后的工作中</w:t>
      </w:r>
      <w:r>
        <w:rPr>
          <w:rFonts w:hint="eastAsia" w:ascii="仿宋_GB2312" w:hAnsi="宋体" w:eastAsia="仿宋_GB2312" w:cs="宋体"/>
          <w:color w:val="000000"/>
          <w:kern w:val="0"/>
          <w:sz w:val="32"/>
          <w:szCs w:val="32"/>
          <w:lang w:eastAsia="zh-CN"/>
        </w:rPr>
        <w:t>继续</w:t>
      </w:r>
      <w:r>
        <w:rPr>
          <w:rFonts w:hint="eastAsia" w:ascii="仿宋_GB2312" w:hAnsi="宋体" w:eastAsia="仿宋_GB2312" w:cs="宋体"/>
          <w:color w:val="000000"/>
          <w:kern w:val="0"/>
          <w:sz w:val="32"/>
          <w:szCs w:val="32"/>
        </w:rPr>
        <w:t>加强项目自评工作，在今后的预算工作中</w:t>
      </w:r>
      <w:r>
        <w:rPr>
          <w:rFonts w:hint="eastAsia" w:ascii="仿宋_GB2312" w:hAnsi="宋体" w:eastAsia="仿宋_GB2312" w:cs="宋体"/>
          <w:color w:val="000000"/>
          <w:kern w:val="0"/>
          <w:sz w:val="32"/>
          <w:szCs w:val="32"/>
          <w:lang w:eastAsia="zh-CN"/>
        </w:rPr>
        <w:t>进一步</w:t>
      </w:r>
      <w:r>
        <w:rPr>
          <w:rFonts w:hint="eastAsia" w:ascii="仿宋_GB2312" w:hAnsi="宋体" w:eastAsia="仿宋_GB2312" w:cs="宋体"/>
          <w:color w:val="000000"/>
          <w:kern w:val="0"/>
          <w:sz w:val="32"/>
          <w:szCs w:val="32"/>
        </w:rPr>
        <w:t>规范项目填报，重点体现政策目标，突出强调支出效果</w:t>
      </w:r>
      <w:bookmarkStart w:id="0" w:name="_GoBack"/>
      <w:bookmarkEnd w:id="0"/>
      <w:r>
        <w:rPr>
          <w:rFonts w:hint="eastAsia" w:ascii="仿宋_GB2312" w:hAnsi="宋体" w:eastAsia="仿宋_GB2312" w:cs="宋体"/>
          <w:color w:val="000000"/>
          <w:kern w:val="0"/>
          <w:sz w:val="32"/>
          <w:szCs w:val="32"/>
        </w:rPr>
        <w:t>。在实施过程中建立健全项目管理制度，完善细化实施方案；全面认识项目执行过程中存在的风险，加强管控措施及预期风险的应对措施。严格项目执行管理，加强和改进项目支出预算管理。</w:t>
      </w:r>
    </w:p>
    <w:p w14:paraId="6B955686">
      <w:pPr>
        <w:spacing w:line="600" w:lineRule="exact"/>
        <w:ind w:firstLine="640" w:firstLineChars="200"/>
        <w:rPr>
          <w:rFonts w:ascii="仿宋_GB2312" w:hAnsi="宋体" w:eastAsia="仿宋_GB2312" w:cs="宋体"/>
          <w:color w:val="000000"/>
          <w:kern w:val="0"/>
          <w:sz w:val="32"/>
          <w:szCs w:val="32"/>
        </w:rPr>
      </w:pPr>
    </w:p>
    <w:p w14:paraId="69901A4A">
      <w:pPr>
        <w:spacing w:line="600" w:lineRule="exact"/>
        <w:ind w:firstLine="640" w:firstLineChars="200"/>
        <w:rPr>
          <w:rFonts w:ascii="仿宋_GB2312" w:hAnsi="宋体" w:eastAsia="仿宋_GB2312" w:cs="宋体"/>
          <w:color w:val="000000"/>
          <w:kern w:val="0"/>
          <w:sz w:val="32"/>
          <w:szCs w:val="32"/>
        </w:rPr>
      </w:pPr>
    </w:p>
    <w:p w14:paraId="0EA8939D">
      <w:pPr>
        <w:widowControl/>
        <w:jc w:val="center"/>
        <w:rPr>
          <w:rFonts w:ascii="方正小标宋简体" w:hAnsi="黑体" w:eastAsia="方正小标宋简体" w:cs="宋体"/>
          <w:color w:val="000000"/>
          <w:kern w:val="0"/>
          <w:sz w:val="44"/>
          <w:szCs w:val="44"/>
        </w:rPr>
        <w:sectPr>
          <w:footerReference r:id="rId3" w:type="default"/>
          <w:pgSz w:w="11906" w:h="16838"/>
          <w:pgMar w:top="1440" w:right="1800" w:bottom="1440" w:left="1800" w:header="851" w:footer="992" w:gutter="0"/>
          <w:pgNumType w:fmt="numberInDash"/>
          <w:cols w:space="425" w:num="1"/>
          <w:docGrid w:type="lines" w:linePitch="312" w:charSpace="0"/>
        </w:sectPr>
      </w:pPr>
    </w:p>
    <w:p w14:paraId="7241BD35">
      <w:pPr>
        <w:rPr>
          <w:u w:val="single"/>
        </w:rPr>
      </w:pPr>
    </w:p>
    <w:tbl>
      <w:tblPr>
        <w:tblStyle w:val="5"/>
        <w:tblW w:w="4824" w:type="pct"/>
        <w:tblInd w:w="0" w:type="dxa"/>
        <w:tblLayout w:type="fixed"/>
        <w:tblCellMar>
          <w:top w:w="0" w:type="dxa"/>
          <w:left w:w="108" w:type="dxa"/>
          <w:bottom w:w="0" w:type="dxa"/>
          <w:right w:w="108" w:type="dxa"/>
        </w:tblCellMar>
      </w:tblPr>
      <w:tblGrid>
        <w:gridCol w:w="2765"/>
        <w:gridCol w:w="2548"/>
        <w:gridCol w:w="1989"/>
        <w:gridCol w:w="1434"/>
        <w:gridCol w:w="1652"/>
        <w:gridCol w:w="665"/>
        <w:gridCol w:w="1312"/>
      </w:tblGrid>
      <w:tr w14:paraId="5F40E898">
        <w:tblPrEx>
          <w:tblCellMar>
            <w:top w:w="0" w:type="dxa"/>
            <w:left w:w="108" w:type="dxa"/>
            <w:bottom w:w="0" w:type="dxa"/>
            <w:right w:w="108" w:type="dxa"/>
          </w:tblCellMar>
        </w:tblPrEx>
        <w:trPr>
          <w:trHeight w:val="499" w:hRule="atLeast"/>
        </w:trPr>
        <w:tc>
          <w:tcPr>
            <w:tcW w:w="5000" w:type="pct"/>
            <w:gridSpan w:val="7"/>
            <w:tcBorders>
              <w:top w:val="nil"/>
              <w:left w:val="nil"/>
              <w:bottom w:val="single" w:color="auto" w:sz="4" w:space="0"/>
              <w:right w:val="nil"/>
            </w:tcBorders>
            <w:noWrap/>
            <w:vAlign w:val="bottom"/>
          </w:tcPr>
          <w:p w14:paraId="2C362ACE">
            <w:pPr>
              <w:widowControl/>
              <w:jc w:val="center"/>
              <w:rPr>
                <w:rFonts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rPr>
              <w:t>202</w:t>
            </w:r>
            <w:r>
              <w:rPr>
                <w:rFonts w:hint="eastAsia" w:ascii="方正小标宋简体" w:hAnsi="黑体" w:eastAsia="方正小标宋简体" w:cs="宋体"/>
                <w:color w:val="000000"/>
                <w:kern w:val="0"/>
                <w:sz w:val="44"/>
                <w:szCs w:val="44"/>
                <w:lang w:val="en-US" w:eastAsia="zh-CN"/>
              </w:rPr>
              <w:t>4</w:t>
            </w:r>
            <w:r>
              <w:rPr>
                <w:rFonts w:hint="eastAsia" w:ascii="方正小标宋简体" w:hAnsi="黑体" w:eastAsia="方正小标宋简体" w:cs="宋体"/>
                <w:color w:val="000000"/>
                <w:kern w:val="0"/>
                <w:sz w:val="44"/>
                <w:szCs w:val="44"/>
              </w:rPr>
              <w:t>年</w:t>
            </w:r>
            <w:r>
              <w:rPr>
                <w:rFonts w:hint="eastAsia" w:ascii="方正小标宋简体" w:hAnsi="黑体" w:eastAsia="方正小标宋简体" w:cs="宋体"/>
                <w:color w:val="000000"/>
                <w:kern w:val="0"/>
                <w:sz w:val="44"/>
                <w:szCs w:val="44"/>
                <w:lang w:val="en-US" w:eastAsia="zh-CN"/>
              </w:rPr>
              <w:t>单位</w:t>
            </w:r>
            <w:r>
              <w:rPr>
                <w:rFonts w:hint="eastAsia" w:ascii="方正小标宋简体" w:hAnsi="黑体" w:eastAsia="方正小标宋简体" w:cs="宋体"/>
                <w:color w:val="000000"/>
                <w:kern w:val="0"/>
                <w:sz w:val="44"/>
                <w:szCs w:val="44"/>
              </w:rPr>
              <w:t>整体绩效评价指标体系评分表</w:t>
            </w:r>
          </w:p>
        </w:tc>
      </w:tr>
      <w:tr w14:paraId="6282041C">
        <w:tblPrEx>
          <w:tblCellMar>
            <w:top w:w="0" w:type="dxa"/>
            <w:left w:w="108" w:type="dxa"/>
            <w:bottom w:w="0" w:type="dxa"/>
            <w:right w:w="108" w:type="dxa"/>
          </w:tblCellMar>
        </w:tblPrEx>
        <w:trPr>
          <w:trHeight w:val="470" w:hRule="atLeast"/>
        </w:trPr>
        <w:tc>
          <w:tcPr>
            <w:tcW w:w="5000" w:type="pct"/>
            <w:gridSpan w:val="7"/>
            <w:tcBorders>
              <w:top w:val="single" w:color="auto" w:sz="4" w:space="0"/>
              <w:left w:val="single" w:color="auto" w:sz="4" w:space="0"/>
              <w:bottom w:val="single" w:color="000000" w:sz="4" w:space="0"/>
              <w:right w:val="single" w:color="auto" w:sz="4" w:space="0"/>
            </w:tcBorders>
            <w:noWrap w:val="0"/>
            <w:vAlign w:val="center"/>
          </w:tcPr>
          <w:p w14:paraId="140268C3">
            <w:pPr>
              <w:widowControl/>
              <w:jc w:val="left"/>
              <w:rPr>
                <w:rFonts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14:paraId="28DB553E">
        <w:tblPrEx>
          <w:tblCellMar>
            <w:top w:w="0" w:type="dxa"/>
            <w:left w:w="108" w:type="dxa"/>
            <w:bottom w:w="0" w:type="dxa"/>
            <w:right w:w="108" w:type="dxa"/>
          </w:tblCellMar>
        </w:tblPrEx>
        <w:trPr>
          <w:trHeight w:val="660" w:hRule="atLeast"/>
        </w:trPr>
        <w:tc>
          <w:tcPr>
            <w:tcW w:w="1118" w:type="pct"/>
            <w:tcBorders>
              <w:top w:val="single" w:color="auto" w:sz="4" w:space="0"/>
              <w:left w:val="single" w:color="auto" w:sz="4" w:space="0"/>
              <w:bottom w:val="single" w:color="auto" w:sz="4" w:space="0"/>
              <w:right w:val="single" w:color="auto" w:sz="4" w:space="0"/>
            </w:tcBorders>
            <w:noWrap w:val="0"/>
            <w:vAlign w:val="center"/>
          </w:tcPr>
          <w:p w14:paraId="072F64CA">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030" w:type="pct"/>
            <w:tcBorders>
              <w:top w:val="single" w:color="auto" w:sz="4" w:space="0"/>
              <w:left w:val="single" w:color="auto" w:sz="4" w:space="0"/>
              <w:bottom w:val="single" w:color="auto" w:sz="4" w:space="0"/>
              <w:right w:val="single" w:color="auto" w:sz="4" w:space="0"/>
            </w:tcBorders>
            <w:noWrap w:val="0"/>
            <w:vAlign w:val="center"/>
          </w:tcPr>
          <w:p w14:paraId="31A9839E">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804" w:type="pct"/>
            <w:tcBorders>
              <w:top w:val="single" w:color="auto" w:sz="4" w:space="0"/>
              <w:left w:val="single" w:color="auto" w:sz="4" w:space="0"/>
              <w:bottom w:val="single" w:color="auto" w:sz="4" w:space="0"/>
              <w:right w:val="single" w:color="auto" w:sz="4" w:space="0"/>
            </w:tcBorders>
            <w:noWrap w:val="0"/>
            <w:vAlign w:val="center"/>
          </w:tcPr>
          <w:p w14:paraId="76E8E76E">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预算数（万元）</w:t>
            </w:r>
          </w:p>
        </w:tc>
        <w:tc>
          <w:tcPr>
            <w:tcW w:w="579" w:type="pct"/>
            <w:tcBorders>
              <w:top w:val="single" w:color="auto" w:sz="4" w:space="0"/>
              <w:left w:val="single" w:color="auto" w:sz="4" w:space="0"/>
              <w:bottom w:val="single" w:color="auto" w:sz="4" w:space="0"/>
              <w:right w:val="single" w:color="auto" w:sz="4" w:space="0"/>
            </w:tcBorders>
            <w:noWrap w:val="0"/>
            <w:vAlign w:val="center"/>
          </w:tcPr>
          <w:p w14:paraId="223E057A">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执行数（万元）</w:t>
            </w:r>
          </w:p>
        </w:tc>
        <w:tc>
          <w:tcPr>
            <w:tcW w:w="668" w:type="pct"/>
            <w:tcBorders>
              <w:top w:val="single" w:color="auto" w:sz="4" w:space="0"/>
              <w:left w:val="single" w:color="auto" w:sz="4" w:space="0"/>
              <w:bottom w:val="single" w:color="auto" w:sz="4" w:space="0"/>
              <w:right w:val="single" w:color="auto" w:sz="4" w:space="0"/>
            </w:tcBorders>
            <w:noWrap w:val="0"/>
            <w:vAlign w:val="center"/>
          </w:tcPr>
          <w:p w14:paraId="30D5EF4B">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预算执行率</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4056AC1E">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530" w:type="pct"/>
            <w:tcBorders>
              <w:top w:val="single" w:color="auto" w:sz="4" w:space="0"/>
              <w:left w:val="single" w:color="auto" w:sz="4" w:space="0"/>
              <w:bottom w:val="single" w:color="auto" w:sz="4" w:space="0"/>
              <w:right w:val="single" w:color="auto" w:sz="4" w:space="0"/>
            </w:tcBorders>
            <w:noWrap w:val="0"/>
            <w:vAlign w:val="center"/>
          </w:tcPr>
          <w:p w14:paraId="10EC8523">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177D88D2">
        <w:tblPrEx>
          <w:tblCellMar>
            <w:top w:w="0" w:type="dxa"/>
            <w:left w:w="108" w:type="dxa"/>
            <w:bottom w:w="0" w:type="dxa"/>
            <w:right w:w="108" w:type="dxa"/>
          </w:tblCellMar>
        </w:tblPrEx>
        <w:trPr>
          <w:trHeight w:val="630" w:hRule="atLeast"/>
        </w:trPr>
        <w:tc>
          <w:tcPr>
            <w:tcW w:w="1118" w:type="pct"/>
            <w:vMerge w:val="restart"/>
            <w:tcBorders>
              <w:top w:val="nil"/>
              <w:left w:val="single" w:color="auto" w:sz="4" w:space="0"/>
              <w:bottom w:val="single" w:color="000000" w:sz="4" w:space="0"/>
              <w:right w:val="single" w:color="auto" w:sz="4" w:space="0"/>
            </w:tcBorders>
            <w:noWrap w:val="0"/>
            <w:vAlign w:val="center"/>
          </w:tcPr>
          <w:p w14:paraId="28BA3034">
            <w:pPr>
              <w:widowControl/>
              <w:jc w:val="center"/>
              <w:rPr>
                <w:rFonts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1030" w:type="pct"/>
            <w:tcBorders>
              <w:top w:val="single" w:color="auto" w:sz="4" w:space="0"/>
              <w:left w:val="single" w:color="auto" w:sz="4" w:space="0"/>
              <w:bottom w:val="single" w:color="auto" w:sz="4" w:space="0"/>
              <w:right w:val="single" w:color="auto" w:sz="4" w:space="0"/>
            </w:tcBorders>
            <w:noWrap w:val="0"/>
            <w:vAlign w:val="center"/>
          </w:tcPr>
          <w:p w14:paraId="20480ACD">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资金总体</w:t>
            </w:r>
          </w:p>
        </w:tc>
        <w:tc>
          <w:tcPr>
            <w:tcW w:w="804" w:type="pct"/>
            <w:tcBorders>
              <w:top w:val="single" w:color="auto" w:sz="4" w:space="0"/>
              <w:left w:val="single" w:color="auto" w:sz="4" w:space="0"/>
              <w:bottom w:val="single" w:color="auto" w:sz="4" w:space="0"/>
              <w:right w:val="single" w:color="auto" w:sz="4" w:space="0"/>
            </w:tcBorders>
            <w:noWrap w:val="0"/>
            <w:vAlign w:val="center"/>
          </w:tcPr>
          <w:p w14:paraId="412B80CF">
            <w:pPr>
              <w:widowControl/>
              <w:jc w:val="center"/>
              <w:rPr>
                <w:rFonts w:ascii="宋体" w:hAnsi="宋体" w:cs="宋体"/>
                <w:color w:val="000000"/>
                <w:kern w:val="0"/>
                <w:sz w:val="20"/>
                <w:szCs w:val="20"/>
              </w:rPr>
            </w:pPr>
            <w:r>
              <w:rPr>
                <w:rFonts w:hint="eastAsia" w:ascii="宋体" w:hAnsi="宋体" w:cs="宋体"/>
                <w:color w:val="000000"/>
                <w:kern w:val="0"/>
                <w:sz w:val="20"/>
                <w:szCs w:val="20"/>
              </w:rPr>
              <w:t>991.67　</w:t>
            </w:r>
          </w:p>
        </w:tc>
        <w:tc>
          <w:tcPr>
            <w:tcW w:w="579" w:type="pct"/>
            <w:tcBorders>
              <w:top w:val="single" w:color="auto" w:sz="4" w:space="0"/>
              <w:left w:val="single" w:color="auto" w:sz="4" w:space="0"/>
              <w:bottom w:val="single" w:color="auto" w:sz="4" w:space="0"/>
              <w:right w:val="single" w:color="auto" w:sz="4" w:space="0"/>
            </w:tcBorders>
            <w:noWrap w:val="0"/>
            <w:vAlign w:val="center"/>
          </w:tcPr>
          <w:p w14:paraId="6CCA1CED">
            <w:pPr>
              <w:widowControl/>
              <w:jc w:val="center"/>
              <w:rPr>
                <w:rFonts w:ascii="宋体" w:hAnsi="宋体" w:cs="宋体"/>
                <w:color w:val="000000"/>
                <w:kern w:val="0"/>
                <w:sz w:val="20"/>
                <w:szCs w:val="20"/>
              </w:rPr>
            </w:pPr>
            <w:r>
              <w:rPr>
                <w:rFonts w:hint="eastAsia" w:ascii="宋体" w:hAnsi="宋体" w:cs="宋体"/>
                <w:color w:val="000000"/>
                <w:kern w:val="0"/>
                <w:sz w:val="20"/>
                <w:szCs w:val="20"/>
              </w:rPr>
              <w:t>717.75　</w:t>
            </w:r>
          </w:p>
        </w:tc>
        <w:tc>
          <w:tcPr>
            <w:tcW w:w="668" w:type="pct"/>
            <w:tcBorders>
              <w:top w:val="single" w:color="auto" w:sz="4" w:space="0"/>
              <w:left w:val="single" w:color="auto" w:sz="4" w:space="0"/>
              <w:bottom w:val="single" w:color="auto" w:sz="4" w:space="0"/>
              <w:right w:val="single" w:color="auto" w:sz="4" w:space="0"/>
            </w:tcBorders>
            <w:noWrap w:val="0"/>
            <w:vAlign w:val="center"/>
          </w:tcPr>
          <w:p w14:paraId="00F86AC9">
            <w:pPr>
              <w:widowControl/>
              <w:jc w:val="center"/>
              <w:rPr>
                <w:rFonts w:ascii="宋体" w:hAnsi="宋体" w:cs="宋体"/>
                <w:color w:val="000000"/>
                <w:kern w:val="0"/>
                <w:sz w:val="20"/>
                <w:szCs w:val="20"/>
              </w:rPr>
            </w:pPr>
            <w:r>
              <w:rPr>
                <w:rFonts w:hint="eastAsia" w:ascii="宋体" w:hAnsi="宋体" w:cs="宋体"/>
                <w:color w:val="000000"/>
                <w:kern w:val="0"/>
                <w:sz w:val="20"/>
                <w:szCs w:val="20"/>
              </w:rPr>
              <w:t>72%　</w:t>
            </w:r>
          </w:p>
        </w:tc>
        <w:tc>
          <w:tcPr>
            <w:tcW w:w="268" w:type="pct"/>
            <w:vMerge w:val="restart"/>
            <w:tcBorders>
              <w:top w:val="single" w:color="auto" w:sz="4" w:space="0"/>
              <w:left w:val="single" w:color="auto" w:sz="4" w:space="0"/>
              <w:bottom w:val="single" w:color="auto" w:sz="4" w:space="0"/>
              <w:right w:val="single" w:color="auto" w:sz="4" w:space="0"/>
            </w:tcBorders>
            <w:noWrap/>
            <w:vAlign w:val="center"/>
          </w:tcPr>
          <w:p w14:paraId="35D14D40">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530" w:type="pct"/>
            <w:vMerge w:val="restart"/>
            <w:tcBorders>
              <w:top w:val="single" w:color="auto" w:sz="4" w:space="0"/>
              <w:left w:val="single" w:color="auto" w:sz="4" w:space="0"/>
              <w:bottom w:val="single" w:color="auto" w:sz="4" w:space="0"/>
              <w:right w:val="single" w:color="auto" w:sz="4" w:space="0"/>
            </w:tcBorders>
            <w:noWrap/>
            <w:vAlign w:val="center"/>
          </w:tcPr>
          <w:p w14:paraId="5215FAF8">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hint="eastAsia" w:ascii="宋体" w:hAnsi="宋体" w:cs="宋体"/>
                <w:color w:val="000000"/>
                <w:kern w:val="0"/>
                <w:sz w:val="20"/>
                <w:szCs w:val="20"/>
                <w:lang w:val="en-US" w:eastAsia="zh-CN"/>
              </w:rPr>
              <w:t>4.4</w:t>
            </w:r>
            <w:r>
              <w:rPr>
                <w:rFonts w:hint="eastAsia" w:ascii="宋体" w:hAnsi="宋体" w:cs="宋体"/>
                <w:color w:val="000000"/>
                <w:kern w:val="0"/>
                <w:sz w:val="20"/>
                <w:szCs w:val="20"/>
              </w:rPr>
              <w:t>　</w:t>
            </w:r>
          </w:p>
        </w:tc>
      </w:tr>
      <w:tr w14:paraId="404E73C3">
        <w:tblPrEx>
          <w:tblCellMar>
            <w:top w:w="0" w:type="dxa"/>
            <w:left w:w="108" w:type="dxa"/>
            <w:bottom w:w="0" w:type="dxa"/>
            <w:right w:w="108" w:type="dxa"/>
          </w:tblCellMar>
        </w:tblPrEx>
        <w:trPr>
          <w:trHeight w:val="600" w:hRule="atLeast"/>
        </w:trPr>
        <w:tc>
          <w:tcPr>
            <w:tcW w:w="1118" w:type="pct"/>
            <w:vMerge w:val="continue"/>
            <w:tcBorders>
              <w:top w:val="nil"/>
              <w:left w:val="single" w:color="auto" w:sz="4" w:space="0"/>
              <w:bottom w:val="single" w:color="000000" w:sz="4" w:space="0"/>
              <w:right w:val="single" w:color="auto" w:sz="4" w:space="0"/>
            </w:tcBorders>
            <w:noWrap w:val="0"/>
            <w:vAlign w:val="center"/>
          </w:tcPr>
          <w:p w14:paraId="05C11137">
            <w:pPr>
              <w:widowControl/>
              <w:jc w:val="left"/>
              <w:rPr>
                <w:rFonts w:ascii="宋体" w:hAnsi="宋体" w:cs="宋体"/>
                <w:color w:val="000000"/>
                <w:kern w:val="0"/>
                <w:sz w:val="20"/>
                <w:szCs w:val="20"/>
              </w:rPr>
            </w:pPr>
          </w:p>
        </w:tc>
        <w:tc>
          <w:tcPr>
            <w:tcW w:w="1030" w:type="pct"/>
            <w:tcBorders>
              <w:top w:val="single" w:color="auto" w:sz="4" w:space="0"/>
              <w:left w:val="single" w:color="auto" w:sz="4" w:space="0"/>
              <w:bottom w:val="single" w:color="auto" w:sz="4" w:space="0"/>
              <w:right w:val="nil"/>
            </w:tcBorders>
            <w:noWrap w:val="0"/>
            <w:vAlign w:val="center"/>
          </w:tcPr>
          <w:p w14:paraId="5BD73C2E">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基本支出</w:t>
            </w:r>
          </w:p>
        </w:tc>
        <w:tc>
          <w:tcPr>
            <w:tcW w:w="804" w:type="pct"/>
            <w:tcBorders>
              <w:top w:val="single" w:color="auto" w:sz="4" w:space="0"/>
              <w:left w:val="single" w:color="auto" w:sz="4" w:space="0"/>
              <w:bottom w:val="single" w:color="auto" w:sz="4" w:space="0"/>
              <w:right w:val="single" w:color="auto" w:sz="4" w:space="0"/>
            </w:tcBorders>
            <w:noWrap w:val="0"/>
            <w:vAlign w:val="center"/>
          </w:tcPr>
          <w:p w14:paraId="64A1BF07">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630.14</w:t>
            </w:r>
            <w:r>
              <w:rPr>
                <w:rFonts w:hint="eastAsia" w:ascii="宋体" w:hAnsi="宋体" w:cs="宋体"/>
                <w:color w:val="000000"/>
                <w:kern w:val="0"/>
                <w:sz w:val="20"/>
                <w:szCs w:val="20"/>
              </w:rPr>
              <w:t>　　</w:t>
            </w:r>
          </w:p>
        </w:tc>
        <w:tc>
          <w:tcPr>
            <w:tcW w:w="579" w:type="pct"/>
            <w:tcBorders>
              <w:top w:val="single" w:color="auto" w:sz="4" w:space="0"/>
              <w:left w:val="nil"/>
              <w:bottom w:val="single" w:color="auto" w:sz="4" w:space="0"/>
              <w:right w:val="single" w:color="auto" w:sz="4" w:space="0"/>
            </w:tcBorders>
            <w:noWrap w:val="0"/>
            <w:vAlign w:val="center"/>
          </w:tcPr>
          <w:p w14:paraId="1325E2D4">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511.57</w:t>
            </w:r>
            <w:r>
              <w:rPr>
                <w:rFonts w:hint="eastAsia" w:ascii="宋体" w:hAnsi="宋体" w:cs="宋体"/>
                <w:color w:val="000000"/>
                <w:kern w:val="0"/>
                <w:sz w:val="20"/>
                <w:szCs w:val="20"/>
              </w:rPr>
              <w:t>　</w:t>
            </w:r>
          </w:p>
        </w:tc>
        <w:tc>
          <w:tcPr>
            <w:tcW w:w="668" w:type="pct"/>
            <w:vMerge w:val="restart"/>
            <w:tcBorders>
              <w:top w:val="single" w:color="auto" w:sz="4" w:space="0"/>
              <w:left w:val="single" w:color="auto" w:sz="4" w:space="0"/>
              <w:bottom w:val="single" w:color="auto" w:sz="4" w:space="0"/>
              <w:right w:val="single" w:color="auto" w:sz="4" w:space="0"/>
            </w:tcBorders>
            <w:noWrap w:val="0"/>
            <w:vAlign w:val="center"/>
          </w:tcPr>
          <w:p w14:paraId="26059998">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268" w:type="pct"/>
            <w:vMerge w:val="continue"/>
            <w:tcBorders>
              <w:top w:val="single" w:color="auto" w:sz="4" w:space="0"/>
              <w:left w:val="single" w:color="auto" w:sz="4" w:space="0"/>
              <w:bottom w:val="single" w:color="auto" w:sz="4" w:space="0"/>
              <w:right w:val="single" w:color="auto" w:sz="4" w:space="0"/>
            </w:tcBorders>
            <w:noWrap w:val="0"/>
            <w:vAlign w:val="center"/>
          </w:tcPr>
          <w:p w14:paraId="796E570F">
            <w:pPr>
              <w:widowControl/>
              <w:jc w:val="left"/>
              <w:rPr>
                <w:rFonts w:ascii="宋体" w:hAnsi="宋体" w:cs="宋体"/>
                <w:color w:val="000000"/>
                <w:kern w:val="0"/>
                <w:sz w:val="20"/>
                <w:szCs w:val="20"/>
              </w:rPr>
            </w:pPr>
          </w:p>
        </w:tc>
        <w:tc>
          <w:tcPr>
            <w:tcW w:w="530" w:type="pct"/>
            <w:vMerge w:val="continue"/>
            <w:tcBorders>
              <w:top w:val="single" w:color="auto" w:sz="4" w:space="0"/>
              <w:left w:val="nil"/>
              <w:bottom w:val="single" w:color="auto" w:sz="4" w:space="0"/>
              <w:right w:val="single" w:color="auto" w:sz="4" w:space="0"/>
            </w:tcBorders>
            <w:noWrap w:val="0"/>
            <w:vAlign w:val="center"/>
          </w:tcPr>
          <w:p w14:paraId="497E5719">
            <w:pPr>
              <w:widowControl/>
              <w:jc w:val="left"/>
              <w:rPr>
                <w:rFonts w:ascii="宋体" w:hAnsi="宋体" w:cs="宋体"/>
                <w:color w:val="000000"/>
                <w:kern w:val="0"/>
                <w:sz w:val="20"/>
                <w:szCs w:val="20"/>
              </w:rPr>
            </w:pPr>
          </w:p>
        </w:tc>
      </w:tr>
      <w:tr w14:paraId="3B1500BA">
        <w:tblPrEx>
          <w:tblCellMar>
            <w:top w:w="0" w:type="dxa"/>
            <w:left w:w="108" w:type="dxa"/>
            <w:bottom w:w="0" w:type="dxa"/>
            <w:right w:w="108" w:type="dxa"/>
          </w:tblCellMar>
        </w:tblPrEx>
        <w:trPr>
          <w:trHeight w:val="615" w:hRule="atLeast"/>
        </w:trPr>
        <w:tc>
          <w:tcPr>
            <w:tcW w:w="1118" w:type="pct"/>
            <w:vMerge w:val="continue"/>
            <w:tcBorders>
              <w:top w:val="nil"/>
              <w:left w:val="single" w:color="auto" w:sz="4" w:space="0"/>
              <w:bottom w:val="single" w:color="000000" w:sz="4" w:space="0"/>
              <w:right w:val="single" w:color="auto" w:sz="4" w:space="0"/>
            </w:tcBorders>
            <w:noWrap w:val="0"/>
            <w:vAlign w:val="center"/>
          </w:tcPr>
          <w:p w14:paraId="458D57F4">
            <w:pPr>
              <w:widowControl/>
              <w:jc w:val="left"/>
              <w:rPr>
                <w:rFonts w:ascii="宋体" w:hAnsi="宋体" w:cs="宋体"/>
                <w:color w:val="000000"/>
                <w:kern w:val="0"/>
                <w:sz w:val="20"/>
                <w:szCs w:val="20"/>
              </w:rPr>
            </w:pPr>
          </w:p>
        </w:tc>
        <w:tc>
          <w:tcPr>
            <w:tcW w:w="1030" w:type="pct"/>
            <w:tcBorders>
              <w:top w:val="single" w:color="auto" w:sz="4" w:space="0"/>
              <w:left w:val="single" w:color="auto" w:sz="4" w:space="0"/>
              <w:bottom w:val="single" w:color="auto" w:sz="4" w:space="0"/>
              <w:right w:val="nil"/>
            </w:tcBorders>
            <w:noWrap w:val="0"/>
            <w:vAlign w:val="center"/>
          </w:tcPr>
          <w:p w14:paraId="4D995706">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项目支出</w:t>
            </w:r>
          </w:p>
        </w:tc>
        <w:tc>
          <w:tcPr>
            <w:tcW w:w="804" w:type="pct"/>
            <w:tcBorders>
              <w:top w:val="single" w:color="auto" w:sz="4" w:space="0"/>
              <w:left w:val="single" w:color="auto" w:sz="4" w:space="0"/>
              <w:bottom w:val="single" w:color="auto" w:sz="4" w:space="0"/>
              <w:right w:val="single" w:color="auto" w:sz="4" w:space="0"/>
            </w:tcBorders>
            <w:noWrap w:val="0"/>
            <w:vAlign w:val="center"/>
          </w:tcPr>
          <w:p w14:paraId="2130850E">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361.53</w:t>
            </w:r>
          </w:p>
        </w:tc>
        <w:tc>
          <w:tcPr>
            <w:tcW w:w="579" w:type="pct"/>
            <w:tcBorders>
              <w:top w:val="single" w:color="auto" w:sz="4" w:space="0"/>
              <w:left w:val="nil"/>
              <w:bottom w:val="single" w:color="auto" w:sz="4" w:space="0"/>
              <w:right w:val="single" w:color="auto" w:sz="4" w:space="0"/>
            </w:tcBorders>
            <w:noWrap w:val="0"/>
            <w:vAlign w:val="center"/>
          </w:tcPr>
          <w:p w14:paraId="1F391364">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177.18</w:t>
            </w:r>
            <w:r>
              <w:rPr>
                <w:rFonts w:hint="eastAsia" w:ascii="宋体" w:hAnsi="宋体" w:cs="宋体"/>
                <w:color w:val="000000"/>
                <w:kern w:val="0"/>
                <w:sz w:val="20"/>
                <w:szCs w:val="20"/>
              </w:rPr>
              <w:t>　　</w:t>
            </w:r>
          </w:p>
        </w:tc>
        <w:tc>
          <w:tcPr>
            <w:tcW w:w="668" w:type="pct"/>
            <w:vMerge w:val="continue"/>
            <w:tcBorders>
              <w:top w:val="single" w:color="auto" w:sz="4" w:space="0"/>
              <w:left w:val="single" w:color="auto" w:sz="4" w:space="0"/>
              <w:bottom w:val="single" w:color="auto" w:sz="4" w:space="0"/>
              <w:right w:val="single" w:color="auto" w:sz="4" w:space="0"/>
            </w:tcBorders>
            <w:noWrap w:val="0"/>
            <w:vAlign w:val="center"/>
          </w:tcPr>
          <w:p w14:paraId="46A20848">
            <w:pPr>
              <w:widowControl/>
              <w:jc w:val="left"/>
              <w:rPr>
                <w:rFonts w:ascii="宋体" w:hAnsi="宋体" w:cs="宋体"/>
                <w:color w:val="000000"/>
                <w:kern w:val="0"/>
                <w:sz w:val="20"/>
                <w:szCs w:val="20"/>
              </w:rPr>
            </w:pPr>
          </w:p>
        </w:tc>
        <w:tc>
          <w:tcPr>
            <w:tcW w:w="268" w:type="pct"/>
            <w:vMerge w:val="continue"/>
            <w:tcBorders>
              <w:top w:val="single" w:color="auto" w:sz="4" w:space="0"/>
              <w:left w:val="single" w:color="auto" w:sz="4" w:space="0"/>
              <w:bottom w:val="single" w:color="auto" w:sz="4" w:space="0"/>
              <w:right w:val="single" w:color="auto" w:sz="4" w:space="0"/>
            </w:tcBorders>
            <w:noWrap w:val="0"/>
            <w:vAlign w:val="center"/>
          </w:tcPr>
          <w:p w14:paraId="2E867DC6">
            <w:pPr>
              <w:widowControl/>
              <w:jc w:val="left"/>
              <w:rPr>
                <w:rFonts w:ascii="宋体" w:hAnsi="宋体" w:cs="宋体"/>
                <w:color w:val="000000"/>
                <w:kern w:val="0"/>
                <w:sz w:val="20"/>
                <w:szCs w:val="20"/>
              </w:rPr>
            </w:pPr>
          </w:p>
        </w:tc>
        <w:tc>
          <w:tcPr>
            <w:tcW w:w="530" w:type="pct"/>
            <w:vMerge w:val="continue"/>
            <w:tcBorders>
              <w:top w:val="single" w:color="auto" w:sz="4" w:space="0"/>
              <w:left w:val="nil"/>
              <w:bottom w:val="single" w:color="auto" w:sz="4" w:space="0"/>
              <w:right w:val="single" w:color="auto" w:sz="4" w:space="0"/>
            </w:tcBorders>
            <w:noWrap w:val="0"/>
            <w:vAlign w:val="center"/>
          </w:tcPr>
          <w:p w14:paraId="75A3E333">
            <w:pPr>
              <w:widowControl/>
              <w:jc w:val="left"/>
              <w:rPr>
                <w:rFonts w:ascii="宋体" w:hAnsi="宋体" w:cs="宋体"/>
                <w:color w:val="000000"/>
                <w:kern w:val="0"/>
                <w:sz w:val="20"/>
                <w:szCs w:val="20"/>
              </w:rPr>
            </w:pPr>
          </w:p>
        </w:tc>
      </w:tr>
      <w:tr w14:paraId="551428B6">
        <w:tblPrEx>
          <w:tblCellMar>
            <w:top w:w="0" w:type="dxa"/>
            <w:left w:w="108" w:type="dxa"/>
            <w:bottom w:w="0" w:type="dxa"/>
            <w:right w:w="108" w:type="dxa"/>
          </w:tblCellMar>
        </w:tblPrEx>
        <w:trPr>
          <w:trHeight w:val="417" w:hRule="atLeast"/>
        </w:trPr>
        <w:tc>
          <w:tcPr>
            <w:tcW w:w="1118" w:type="pct"/>
            <w:vMerge w:val="continue"/>
            <w:tcBorders>
              <w:top w:val="nil"/>
              <w:left w:val="single" w:color="auto" w:sz="4" w:space="0"/>
              <w:bottom w:val="single" w:color="000000" w:sz="4" w:space="0"/>
              <w:right w:val="single" w:color="auto" w:sz="4" w:space="0"/>
            </w:tcBorders>
            <w:noWrap w:val="0"/>
            <w:vAlign w:val="center"/>
          </w:tcPr>
          <w:p w14:paraId="74B2A74C">
            <w:pPr>
              <w:widowControl/>
              <w:jc w:val="left"/>
              <w:rPr>
                <w:rFonts w:ascii="宋体" w:hAnsi="宋体" w:cs="宋体"/>
                <w:color w:val="000000"/>
                <w:kern w:val="0"/>
                <w:sz w:val="20"/>
                <w:szCs w:val="20"/>
              </w:rPr>
            </w:pPr>
          </w:p>
        </w:tc>
        <w:tc>
          <w:tcPr>
            <w:tcW w:w="1030" w:type="pct"/>
            <w:tcBorders>
              <w:top w:val="single" w:color="auto" w:sz="4" w:space="0"/>
              <w:left w:val="single" w:color="auto" w:sz="4" w:space="0"/>
              <w:bottom w:val="single" w:color="auto" w:sz="4" w:space="0"/>
              <w:right w:val="single" w:color="auto" w:sz="4" w:space="0"/>
            </w:tcBorders>
            <w:noWrap w:val="0"/>
            <w:vAlign w:val="center"/>
          </w:tcPr>
          <w:p w14:paraId="7A78CE19">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w:t>
            </w:r>
          </w:p>
        </w:tc>
        <w:tc>
          <w:tcPr>
            <w:tcW w:w="804" w:type="pct"/>
            <w:tcBorders>
              <w:top w:val="single" w:color="auto" w:sz="4" w:space="0"/>
              <w:left w:val="nil"/>
              <w:bottom w:val="single" w:color="auto" w:sz="4" w:space="0"/>
              <w:right w:val="single" w:color="auto" w:sz="4" w:space="0"/>
            </w:tcBorders>
            <w:noWrap w:val="0"/>
            <w:vAlign w:val="center"/>
          </w:tcPr>
          <w:p w14:paraId="38C5AC1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79" w:type="pct"/>
            <w:tcBorders>
              <w:top w:val="single" w:color="auto" w:sz="4" w:space="0"/>
              <w:left w:val="nil"/>
              <w:bottom w:val="single" w:color="auto" w:sz="4" w:space="0"/>
              <w:right w:val="single" w:color="auto" w:sz="4" w:space="0"/>
            </w:tcBorders>
            <w:noWrap w:val="0"/>
            <w:vAlign w:val="center"/>
          </w:tcPr>
          <w:p w14:paraId="0A31CAB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68" w:type="pct"/>
            <w:vMerge w:val="continue"/>
            <w:tcBorders>
              <w:top w:val="single" w:color="auto" w:sz="4" w:space="0"/>
              <w:left w:val="single" w:color="auto" w:sz="4" w:space="0"/>
              <w:bottom w:val="single" w:color="auto" w:sz="4" w:space="0"/>
              <w:right w:val="single" w:color="auto" w:sz="4" w:space="0"/>
            </w:tcBorders>
            <w:noWrap w:val="0"/>
            <w:vAlign w:val="center"/>
          </w:tcPr>
          <w:p w14:paraId="05E9004E">
            <w:pPr>
              <w:widowControl/>
              <w:jc w:val="left"/>
              <w:rPr>
                <w:rFonts w:ascii="宋体" w:hAnsi="宋体" w:cs="宋体"/>
                <w:color w:val="000000"/>
                <w:kern w:val="0"/>
                <w:sz w:val="20"/>
                <w:szCs w:val="20"/>
              </w:rPr>
            </w:pPr>
          </w:p>
        </w:tc>
        <w:tc>
          <w:tcPr>
            <w:tcW w:w="268" w:type="pct"/>
            <w:vMerge w:val="continue"/>
            <w:tcBorders>
              <w:top w:val="single" w:color="auto" w:sz="4" w:space="0"/>
              <w:left w:val="single" w:color="auto" w:sz="4" w:space="0"/>
              <w:bottom w:val="single" w:color="auto" w:sz="4" w:space="0"/>
              <w:right w:val="single" w:color="auto" w:sz="4" w:space="0"/>
            </w:tcBorders>
            <w:noWrap w:val="0"/>
            <w:vAlign w:val="center"/>
          </w:tcPr>
          <w:p w14:paraId="3FF4A43C">
            <w:pPr>
              <w:widowControl/>
              <w:jc w:val="left"/>
              <w:rPr>
                <w:rFonts w:ascii="宋体" w:hAnsi="宋体" w:cs="宋体"/>
                <w:color w:val="000000"/>
                <w:kern w:val="0"/>
                <w:sz w:val="20"/>
                <w:szCs w:val="20"/>
              </w:rPr>
            </w:pPr>
          </w:p>
        </w:tc>
        <w:tc>
          <w:tcPr>
            <w:tcW w:w="530" w:type="pct"/>
            <w:vMerge w:val="continue"/>
            <w:tcBorders>
              <w:top w:val="single" w:color="auto" w:sz="4" w:space="0"/>
              <w:left w:val="nil"/>
              <w:bottom w:val="single" w:color="auto" w:sz="4" w:space="0"/>
              <w:right w:val="single" w:color="auto" w:sz="4" w:space="0"/>
            </w:tcBorders>
            <w:noWrap w:val="0"/>
            <w:vAlign w:val="center"/>
          </w:tcPr>
          <w:p w14:paraId="77E7F19E">
            <w:pPr>
              <w:widowControl/>
              <w:jc w:val="left"/>
              <w:rPr>
                <w:rFonts w:ascii="宋体" w:hAnsi="宋体" w:cs="宋体"/>
                <w:color w:val="000000"/>
                <w:kern w:val="0"/>
                <w:sz w:val="20"/>
                <w:szCs w:val="20"/>
              </w:rPr>
            </w:pPr>
          </w:p>
        </w:tc>
      </w:tr>
      <w:tr w14:paraId="62F2C1A5">
        <w:tblPrEx>
          <w:tblCellMar>
            <w:top w:w="0" w:type="dxa"/>
            <w:left w:w="108" w:type="dxa"/>
            <w:bottom w:w="0" w:type="dxa"/>
            <w:right w:w="108" w:type="dxa"/>
          </w:tblCellMar>
        </w:tblPrEx>
        <w:trPr>
          <w:trHeight w:val="569" w:hRule="atLeast"/>
        </w:trPr>
        <w:tc>
          <w:tcPr>
            <w:tcW w:w="5000" w:type="pct"/>
            <w:gridSpan w:val="7"/>
            <w:tcBorders>
              <w:top w:val="nil"/>
              <w:left w:val="single" w:color="auto" w:sz="4" w:space="0"/>
              <w:bottom w:val="single" w:color="auto" w:sz="4" w:space="0"/>
              <w:right w:val="single" w:color="auto" w:sz="4" w:space="0"/>
            </w:tcBorders>
            <w:noWrap w:val="0"/>
            <w:vAlign w:val="center"/>
          </w:tcPr>
          <w:p w14:paraId="74CEA19A">
            <w:pPr>
              <w:widowControl/>
              <w:jc w:val="left"/>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14:paraId="3DFE0299">
        <w:tblPrEx>
          <w:tblCellMar>
            <w:top w:w="0" w:type="dxa"/>
            <w:left w:w="108" w:type="dxa"/>
            <w:bottom w:w="0" w:type="dxa"/>
            <w:right w:w="108" w:type="dxa"/>
          </w:tblCellMar>
        </w:tblPrEx>
        <w:trPr>
          <w:trHeight w:val="499" w:hRule="atLeast"/>
        </w:trPr>
        <w:tc>
          <w:tcPr>
            <w:tcW w:w="1118" w:type="pct"/>
            <w:tcBorders>
              <w:top w:val="single" w:color="auto" w:sz="4" w:space="0"/>
              <w:left w:val="single" w:color="auto" w:sz="4" w:space="0"/>
              <w:bottom w:val="single" w:color="auto" w:sz="4" w:space="0"/>
              <w:right w:val="single" w:color="auto" w:sz="4" w:space="0"/>
            </w:tcBorders>
            <w:noWrap w:val="0"/>
            <w:vAlign w:val="center"/>
          </w:tcPr>
          <w:p w14:paraId="679E440E">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1030" w:type="pct"/>
            <w:tcBorders>
              <w:top w:val="single" w:color="auto" w:sz="4" w:space="0"/>
              <w:left w:val="nil"/>
              <w:bottom w:val="single" w:color="auto" w:sz="4" w:space="0"/>
              <w:right w:val="single" w:color="auto" w:sz="4" w:space="0"/>
            </w:tcBorders>
            <w:noWrap w:val="0"/>
            <w:vAlign w:val="center"/>
          </w:tcPr>
          <w:p w14:paraId="747C4048">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804" w:type="pct"/>
            <w:tcBorders>
              <w:top w:val="single" w:color="auto" w:sz="4" w:space="0"/>
              <w:left w:val="nil"/>
              <w:bottom w:val="single" w:color="auto" w:sz="4" w:space="0"/>
              <w:right w:val="single" w:color="auto" w:sz="4" w:space="0"/>
            </w:tcBorders>
            <w:noWrap w:val="0"/>
            <w:vAlign w:val="center"/>
          </w:tcPr>
          <w:p w14:paraId="5273F5EC">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579" w:type="pct"/>
            <w:tcBorders>
              <w:top w:val="single" w:color="auto" w:sz="4" w:space="0"/>
              <w:left w:val="nil"/>
              <w:bottom w:val="single" w:color="auto" w:sz="4" w:space="0"/>
              <w:right w:val="single" w:color="auto" w:sz="4" w:space="0"/>
            </w:tcBorders>
            <w:noWrap w:val="0"/>
            <w:vAlign w:val="center"/>
          </w:tcPr>
          <w:p w14:paraId="4D14281C">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668" w:type="pct"/>
            <w:tcBorders>
              <w:top w:val="single" w:color="auto" w:sz="4" w:space="0"/>
              <w:left w:val="nil"/>
              <w:bottom w:val="single" w:color="auto" w:sz="4" w:space="0"/>
              <w:right w:val="single" w:color="auto" w:sz="4" w:space="0"/>
            </w:tcBorders>
            <w:noWrap w:val="0"/>
            <w:vAlign w:val="center"/>
          </w:tcPr>
          <w:p w14:paraId="14D9411E">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268" w:type="pct"/>
            <w:tcBorders>
              <w:top w:val="single" w:color="auto" w:sz="4" w:space="0"/>
              <w:left w:val="nil"/>
              <w:bottom w:val="single" w:color="auto" w:sz="4" w:space="0"/>
              <w:right w:val="single" w:color="auto" w:sz="4" w:space="0"/>
            </w:tcBorders>
            <w:noWrap w:val="0"/>
            <w:vAlign w:val="center"/>
          </w:tcPr>
          <w:p w14:paraId="3FC8138A">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530" w:type="pct"/>
            <w:tcBorders>
              <w:top w:val="single" w:color="auto" w:sz="4" w:space="0"/>
              <w:left w:val="nil"/>
              <w:bottom w:val="single" w:color="auto" w:sz="4" w:space="0"/>
              <w:right w:val="single" w:color="auto" w:sz="4" w:space="0"/>
            </w:tcBorders>
            <w:noWrap w:val="0"/>
            <w:vAlign w:val="center"/>
          </w:tcPr>
          <w:p w14:paraId="312CE114">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60875A02">
        <w:tblPrEx>
          <w:tblCellMar>
            <w:top w:w="0" w:type="dxa"/>
            <w:left w:w="108" w:type="dxa"/>
            <w:bottom w:w="0" w:type="dxa"/>
            <w:right w:w="108" w:type="dxa"/>
          </w:tblCellMar>
        </w:tblPrEx>
        <w:trPr>
          <w:trHeight w:val="1196" w:hRule="atLeast"/>
        </w:trPr>
        <w:tc>
          <w:tcPr>
            <w:tcW w:w="1118" w:type="pct"/>
            <w:vMerge w:val="restart"/>
            <w:tcBorders>
              <w:top w:val="single" w:color="auto" w:sz="4" w:space="0"/>
              <w:left w:val="single" w:color="auto" w:sz="4" w:space="0"/>
              <w:bottom w:val="single" w:color="auto" w:sz="4" w:space="0"/>
              <w:right w:val="single" w:color="auto" w:sz="4" w:space="0"/>
            </w:tcBorders>
            <w:noWrap w:val="0"/>
            <w:vAlign w:val="center"/>
          </w:tcPr>
          <w:p w14:paraId="0408A855">
            <w:pPr>
              <w:widowControl/>
              <w:jc w:val="center"/>
              <w:rPr>
                <w:rFonts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1030" w:type="pct"/>
            <w:vMerge w:val="restart"/>
            <w:tcBorders>
              <w:top w:val="single" w:color="auto" w:sz="4" w:space="0"/>
              <w:left w:val="nil"/>
              <w:right w:val="single" w:color="auto" w:sz="4" w:space="0"/>
            </w:tcBorders>
            <w:noWrap w:val="0"/>
            <w:vAlign w:val="center"/>
          </w:tcPr>
          <w:p w14:paraId="642639EF">
            <w:pPr>
              <w:widowControl/>
              <w:jc w:val="center"/>
              <w:rPr>
                <w:rFonts w:ascii="宋体" w:hAnsi="宋体" w:cs="宋体"/>
                <w:color w:val="000000"/>
                <w:kern w:val="0"/>
                <w:sz w:val="20"/>
                <w:szCs w:val="20"/>
              </w:rPr>
            </w:pPr>
          </w:p>
          <w:p w14:paraId="7A1F659F">
            <w:pPr>
              <w:jc w:val="center"/>
              <w:rPr>
                <w:rFonts w:ascii="宋体" w:hAnsi="宋体" w:cs="宋体"/>
                <w:color w:val="000000"/>
                <w:kern w:val="0"/>
                <w:sz w:val="20"/>
                <w:szCs w:val="20"/>
              </w:rPr>
            </w:pPr>
            <w:r>
              <w:rPr>
                <w:rFonts w:hint="eastAsia" w:ascii="宋体" w:hAnsi="宋体" w:cs="宋体"/>
                <w:color w:val="000000"/>
                <w:kern w:val="0"/>
                <w:sz w:val="20"/>
                <w:szCs w:val="20"/>
              </w:rPr>
              <w:t>产出（30）</w:t>
            </w:r>
          </w:p>
        </w:tc>
        <w:tc>
          <w:tcPr>
            <w:tcW w:w="804" w:type="pct"/>
            <w:tcBorders>
              <w:top w:val="single" w:color="auto" w:sz="4" w:space="0"/>
              <w:left w:val="nil"/>
              <w:bottom w:val="single" w:color="auto" w:sz="4" w:space="0"/>
              <w:right w:val="single" w:color="auto" w:sz="4" w:space="0"/>
            </w:tcBorders>
            <w:noWrap w:val="0"/>
            <w:vAlign w:val="center"/>
          </w:tcPr>
          <w:p w14:paraId="2A98529A">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房屋面积</w:t>
            </w:r>
          </w:p>
        </w:tc>
        <w:tc>
          <w:tcPr>
            <w:tcW w:w="579" w:type="pct"/>
            <w:tcBorders>
              <w:top w:val="single" w:color="auto" w:sz="4" w:space="0"/>
              <w:left w:val="nil"/>
              <w:bottom w:val="single" w:color="auto" w:sz="4" w:space="0"/>
              <w:right w:val="single" w:color="auto" w:sz="4" w:space="0"/>
            </w:tcBorders>
            <w:noWrap w:val="0"/>
            <w:vAlign w:val="top"/>
          </w:tcPr>
          <w:p w14:paraId="09E3D54E">
            <w:pPr>
              <w:jc w:val="center"/>
              <w:rPr>
                <w:rFonts w:ascii="仿宋_GB2312" w:hAnsi="宋体" w:eastAsia="仿宋_GB2312" w:cs="宋体"/>
                <w:kern w:val="0"/>
                <w:szCs w:val="21"/>
              </w:rPr>
            </w:pPr>
            <w:r>
              <w:rPr>
                <w:rFonts w:hint="eastAsia" w:ascii="仿宋_GB2312" w:hAnsi="宋体" w:eastAsia="仿宋_GB2312" w:cs="宋体"/>
                <w:kern w:val="0"/>
                <w:szCs w:val="21"/>
              </w:rPr>
              <w:t>不超标　</w:t>
            </w:r>
          </w:p>
        </w:tc>
        <w:tc>
          <w:tcPr>
            <w:tcW w:w="668" w:type="pct"/>
            <w:tcBorders>
              <w:top w:val="single" w:color="auto" w:sz="4" w:space="0"/>
              <w:left w:val="nil"/>
              <w:bottom w:val="single" w:color="auto" w:sz="4" w:space="0"/>
              <w:right w:val="single" w:color="auto" w:sz="4" w:space="0"/>
            </w:tcBorders>
            <w:noWrap w:val="0"/>
            <w:vAlign w:val="top"/>
          </w:tcPr>
          <w:p w14:paraId="4BCD90C6">
            <w:pPr>
              <w:jc w:val="center"/>
              <w:rPr>
                <w:rFonts w:ascii="仿宋_GB2312" w:hAnsi="宋体" w:eastAsia="仿宋_GB2312" w:cs="宋体"/>
                <w:kern w:val="0"/>
                <w:szCs w:val="21"/>
              </w:rPr>
            </w:pPr>
            <w:r>
              <w:rPr>
                <w:rFonts w:hint="eastAsia" w:ascii="仿宋_GB2312" w:hAnsi="宋体" w:eastAsia="仿宋_GB2312" w:cs="宋体"/>
                <w:kern w:val="0"/>
                <w:szCs w:val="21"/>
              </w:rPr>
              <w:t>不超标　</w:t>
            </w:r>
          </w:p>
        </w:tc>
        <w:tc>
          <w:tcPr>
            <w:tcW w:w="268" w:type="pct"/>
            <w:vMerge w:val="restart"/>
            <w:tcBorders>
              <w:top w:val="single" w:color="auto" w:sz="4" w:space="0"/>
              <w:left w:val="nil"/>
              <w:bottom w:val="single" w:color="auto" w:sz="4" w:space="0"/>
              <w:right w:val="single" w:color="auto" w:sz="4" w:space="0"/>
            </w:tcBorders>
            <w:noWrap w:val="0"/>
            <w:vAlign w:val="center"/>
          </w:tcPr>
          <w:p w14:paraId="784AB325">
            <w:pPr>
              <w:widowControl/>
              <w:jc w:val="center"/>
              <w:rPr>
                <w:rFonts w:ascii="宋体" w:hAnsi="宋体" w:cs="宋体"/>
                <w:color w:val="000000"/>
                <w:kern w:val="0"/>
                <w:sz w:val="20"/>
                <w:szCs w:val="20"/>
              </w:rPr>
            </w:pPr>
          </w:p>
          <w:p w14:paraId="7535F305">
            <w:pPr>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530" w:type="pct"/>
            <w:tcBorders>
              <w:top w:val="single" w:color="auto" w:sz="4" w:space="0"/>
              <w:left w:val="nil"/>
              <w:bottom w:val="single" w:color="auto" w:sz="4" w:space="0"/>
              <w:right w:val="single" w:color="auto" w:sz="4" w:space="0"/>
            </w:tcBorders>
            <w:noWrap w:val="0"/>
            <w:vAlign w:val="center"/>
          </w:tcPr>
          <w:p w14:paraId="748FF030">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rPr>
              <w:t>7.5</w:t>
            </w:r>
          </w:p>
          <w:p w14:paraId="67020247">
            <w:pPr>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EA7322C">
        <w:tblPrEx>
          <w:tblCellMar>
            <w:top w:w="0" w:type="dxa"/>
            <w:left w:w="108" w:type="dxa"/>
            <w:bottom w:w="0" w:type="dxa"/>
            <w:right w:w="108" w:type="dxa"/>
          </w:tblCellMar>
        </w:tblPrEx>
        <w:trPr>
          <w:trHeight w:val="1130" w:hRule="atLeast"/>
        </w:trPr>
        <w:tc>
          <w:tcPr>
            <w:tcW w:w="1118" w:type="pct"/>
            <w:vMerge w:val="continue"/>
            <w:tcBorders>
              <w:top w:val="nil"/>
              <w:left w:val="single" w:color="auto" w:sz="4" w:space="0"/>
              <w:bottom w:val="single" w:color="000000" w:sz="4" w:space="0"/>
              <w:right w:val="single" w:color="auto" w:sz="4" w:space="0"/>
            </w:tcBorders>
            <w:noWrap w:val="0"/>
            <w:vAlign w:val="center"/>
          </w:tcPr>
          <w:p w14:paraId="1884AF6B">
            <w:pPr>
              <w:widowControl/>
              <w:jc w:val="left"/>
              <w:rPr>
                <w:rFonts w:ascii="宋体" w:hAnsi="宋体" w:cs="宋体"/>
                <w:color w:val="000000"/>
                <w:kern w:val="0"/>
                <w:sz w:val="20"/>
                <w:szCs w:val="20"/>
              </w:rPr>
            </w:pPr>
          </w:p>
        </w:tc>
        <w:tc>
          <w:tcPr>
            <w:tcW w:w="1030" w:type="pct"/>
            <w:vMerge w:val="continue"/>
            <w:tcBorders>
              <w:left w:val="single" w:color="auto" w:sz="4" w:space="0"/>
              <w:bottom w:val="single" w:color="auto" w:sz="4" w:space="0"/>
              <w:right w:val="single" w:color="auto" w:sz="4" w:space="0"/>
            </w:tcBorders>
            <w:noWrap w:val="0"/>
            <w:vAlign w:val="center"/>
          </w:tcPr>
          <w:p w14:paraId="4E65606C">
            <w:pPr>
              <w:widowControl/>
              <w:jc w:val="left"/>
              <w:rPr>
                <w:rFonts w:ascii="宋体" w:hAnsi="宋体" w:cs="宋体"/>
                <w:color w:val="000000"/>
                <w:kern w:val="0"/>
                <w:sz w:val="20"/>
                <w:szCs w:val="20"/>
              </w:rPr>
            </w:pPr>
          </w:p>
        </w:tc>
        <w:tc>
          <w:tcPr>
            <w:tcW w:w="804" w:type="pct"/>
            <w:tcBorders>
              <w:top w:val="single" w:color="auto" w:sz="4" w:space="0"/>
              <w:left w:val="nil"/>
              <w:bottom w:val="single" w:color="auto" w:sz="4" w:space="0"/>
              <w:right w:val="single" w:color="auto" w:sz="4" w:space="0"/>
            </w:tcBorders>
            <w:noWrap w:val="0"/>
            <w:vAlign w:val="center"/>
          </w:tcPr>
          <w:p w14:paraId="6AC45204">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保证整洁</w:t>
            </w:r>
          </w:p>
        </w:tc>
        <w:tc>
          <w:tcPr>
            <w:tcW w:w="579" w:type="pct"/>
            <w:tcBorders>
              <w:top w:val="single" w:color="auto" w:sz="4" w:space="0"/>
              <w:left w:val="nil"/>
              <w:bottom w:val="single" w:color="auto" w:sz="4" w:space="0"/>
              <w:right w:val="single" w:color="auto" w:sz="4" w:space="0"/>
            </w:tcBorders>
            <w:noWrap w:val="0"/>
            <w:vAlign w:val="top"/>
          </w:tcPr>
          <w:p w14:paraId="7C50A3D0">
            <w:pPr>
              <w:jc w:val="center"/>
              <w:rPr>
                <w:rFonts w:ascii="仿宋_GB2312" w:hAnsi="宋体" w:eastAsia="仿宋_GB2312" w:cs="宋体"/>
                <w:kern w:val="0"/>
                <w:szCs w:val="21"/>
              </w:rPr>
            </w:pPr>
            <w:r>
              <w:rPr>
                <w:rFonts w:hint="eastAsia" w:ascii="仿宋_GB2312" w:hAnsi="宋体" w:eastAsia="仿宋_GB2312" w:cs="宋体"/>
                <w:kern w:val="0"/>
                <w:szCs w:val="21"/>
              </w:rPr>
              <w:t>降低费用</w:t>
            </w:r>
          </w:p>
        </w:tc>
        <w:tc>
          <w:tcPr>
            <w:tcW w:w="668" w:type="pct"/>
            <w:tcBorders>
              <w:top w:val="single" w:color="auto" w:sz="4" w:space="0"/>
              <w:left w:val="nil"/>
              <w:bottom w:val="single" w:color="auto" w:sz="4" w:space="0"/>
              <w:right w:val="single" w:color="auto" w:sz="4" w:space="0"/>
            </w:tcBorders>
            <w:noWrap w:val="0"/>
            <w:vAlign w:val="top"/>
          </w:tcPr>
          <w:p w14:paraId="1E9CB7EF">
            <w:pPr>
              <w:jc w:val="center"/>
              <w:rPr>
                <w:rFonts w:ascii="仿宋_GB2312" w:hAnsi="宋体" w:eastAsia="仿宋_GB2312" w:cs="宋体"/>
                <w:kern w:val="0"/>
                <w:szCs w:val="21"/>
              </w:rPr>
            </w:pPr>
            <w:r>
              <w:rPr>
                <w:rFonts w:hint="eastAsia" w:ascii="仿宋_GB2312" w:hAnsi="宋体" w:eastAsia="仿宋_GB2312" w:cs="宋体"/>
                <w:kern w:val="0"/>
                <w:szCs w:val="21"/>
              </w:rPr>
              <w:t>降低费用</w:t>
            </w:r>
          </w:p>
        </w:tc>
        <w:tc>
          <w:tcPr>
            <w:tcW w:w="268" w:type="pct"/>
            <w:vMerge w:val="continue"/>
            <w:tcBorders>
              <w:top w:val="single" w:color="auto" w:sz="4" w:space="0"/>
              <w:left w:val="single" w:color="auto" w:sz="4" w:space="0"/>
              <w:bottom w:val="single" w:color="auto" w:sz="4" w:space="0"/>
              <w:right w:val="single" w:color="auto" w:sz="4" w:space="0"/>
            </w:tcBorders>
            <w:noWrap w:val="0"/>
            <w:vAlign w:val="center"/>
          </w:tcPr>
          <w:p w14:paraId="2EE81F26">
            <w:pPr>
              <w:widowControl/>
              <w:jc w:val="left"/>
              <w:rPr>
                <w:rFonts w:ascii="宋体" w:hAnsi="宋体" w:cs="宋体"/>
                <w:color w:val="000000"/>
                <w:kern w:val="0"/>
                <w:sz w:val="20"/>
                <w:szCs w:val="20"/>
              </w:rPr>
            </w:pPr>
          </w:p>
        </w:tc>
        <w:tc>
          <w:tcPr>
            <w:tcW w:w="530" w:type="pct"/>
            <w:tcBorders>
              <w:top w:val="single" w:color="auto" w:sz="4" w:space="0"/>
              <w:left w:val="nil"/>
              <w:bottom w:val="single" w:color="auto" w:sz="4" w:space="0"/>
              <w:right w:val="single" w:color="auto" w:sz="4" w:space="0"/>
            </w:tcBorders>
            <w:noWrap/>
            <w:vAlign w:val="center"/>
          </w:tcPr>
          <w:p w14:paraId="5A5C438B">
            <w:pPr>
              <w:widowControl/>
              <w:jc w:val="center"/>
              <w:rPr>
                <w:rFonts w:ascii="宋体" w:hAnsi="宋体" w:cs="宋体"/>
                <w:color w:val="000000"/>
                <w:kern w:val="0"/>
                <w:sz w:val="20"/>
                <w:szCs w:val="20"/>
              </w:rPr>
            </w:pPr>
            <w:r>
              <w:rPr>
                <w:rFonts w:hint="eastAsia" w:ascii="宋体" w:hAnsi="宋体" w:cs="宋体"/>
                <w:color w:val="000000"/>
                <w:kern w:val="0"/>
                <w:sz w:val="20"/>
                <w:szCs w:val="20"/>
              </w:rPr>
              <w:t>　7.5</w:t>
            </w:r>
          </w:p>
        </w:tc>
      </w:tr>
      <w:tr w14:paraId="142CCD7D">
        <w:tblPrEx>
          <w:tblCellMar>
            <w:top w:w="0" w:type="dxa"/>
            <w:left w:w="108" w:type="dxa"/>
            <w:bottom w:w="0" w:type="dxa"/>
            <w:right w:w="108" w:type="dxa"/>
          </w:tblCellMar>
        </w:tblPrEx>
        <w:trPr>
          <w:trHeight w:val="1258" w:hRule="atLeast"/>
        </w:trPr>
        <w:tc>
          <w:tcPr>
            <w:tcW w:w="1118" w:type="pct"/>
            <w:vMerge w:val="continue"/>
            <w:tcBorders>
              <w:top w:val="nil"/>
              <w:left w:val="single" w:color="auto" w:sz="4" w:space="0"/>
              <w:bottom w:val="single" w:color="000000" w:sz="4" w:space="0"/>
              <w:right w:val="single" w:color="auto" w:sz="4" w:space="0"/>
            </w:tcBorders>
            <w:noWrap w:val="0"/>
            <w:vAlign w:val="center"/>
          </w:tcPr>
          <w:p w14:paraId="706AB335">
            <w:pPr>
              <w:widowControl/>
              <w:jc w:val="left"/>
              <w:rPr>
                <w:rFonts w:ascii="宋体" w:hAnsi="宋体" w:cs="宋体"/>
                <w:color w:val="000000"/>
                <w:kern w:val="0"/>
                <w:sz w:val="20"/>
                <w:szCs w:val="20"/>
              </w:rPr>
            </w:pPr>
          </w:p>
        </w:tc>
        <w:tc>
          <w:tcPr>
            <w:tcW w:w="1030" w:type="pct"/>
            <w:vMerge w:val="continue"/>
            <w:tcBorders>
              <w:top w:val="single" w:color="auto" w:sz="4" w:space="0"/>
              <w:left w:val="single" w:color="auto" w:sz="4" w:space="0"/>
              <w:right w:val="single" w:color="auto" w:sz="4" w:space="0"/>
            </w:tcBorders>
            <w:noWrap w:val="0"/>
            <w:vAlign w:val="center"/>
          </w:tcPr>
          <w:p w14:paraId="5C09766D">
            <w:pPr>
              <w:widowControl/>
              <w:jc w:val="left"/>
              <w:rPr>
                <w:rFonts w:ascii="宋体" w:hAnsi="宋体" w:cs="宋体"/>
                <w:color w:val="000000"/>
                <w:kern w:val="0"/>
                <w:sz w:val="20"/>
                <w:szCs w:val="20"/>
              </w:rPr>
            </w:pPr>
          </w:p>
        </w:tc>
        <w:tc>
          <w:tcPr>
            <w:tcW w:w="804" w:type="pct"/>
            <w:tcBorders>
              <w:top w:val="single" w:color="auto" w:sz="4" w:space="0"/>
              <w:left w:val="nil"/>
              <w:bottom w:val="single" w:color="auto" w:sz="4" w:space="0"/>
              <w:right w:val="single" w:color="auto" w:sz="4" w:space="0"/>
            </w:tcBorders>
            <w:noWrap w:val="0"/>
            <w:vAlign w:val="center"/>
          </w:tcPr>
          <w:p w14:paraId="3A1BE2BC">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支付房租时间</w:t>
            </w:r>
          </w:p>
        </w:tc>
        <w:tc>
          <w:tcPr>
            <w:tcW w:w="579" w:type="pct"/>
            <w:tcBorders>
              <w:top w:val="single" w:color="auto" w:sz="4" w:space="0"/>
              <w:left w:val="nil"/>
              <w:bottom w:val="single" w:color="auto" w:sz="4" w:space="0"/>
              <w:right w:val="single" w:color="auto" w:sz="4" w:space="0"/>
            </w:tcBorders>
            <w:noWrap w:val="0"/>
            <w:vAlign w:val="top"/>
          </w:tcPr>
          <w:p w14:paraId="3F540E2F">
            <w:pPr>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rPr>
              <w:t>202</w:t>
            </w:r>
            <w:r>
              <w:rPr>
                <w:rFonts w:hint="eastAsia" w:ascii="仿宋_GB2312" w:hAnsi="宋体" w:eastAsia="仿宋_GB2312" w:cs="宋体"/>
                <w:kern w:val="0"/>
                <w:szCs w:val="21"/>
                <w:lang w:val="en-US" w:eastAsia="zh-CN"/>
              </w:rPr>
              <w:t>4</w:t>
            </w:r>
            <w:r>
              <w:rPr>
                <w:rFonts w:hint="eastAsia" w:ascii="仿宋_GB2312" w:hAnsi="宋体" w:eastAsia="仿宋_GB2312" w:cs="宋体"/>
                <w:kern w:val="0"/>
                <w:szCs w:val="21"/>
              </w:rPr>
              <w:t>年</w:t>
            </w:r>
            <w:r>
              <w:rPr>
                <w:rFonts w:hint="eastAsia" w:ascii="仿宋_GB2312" w:hAnsi="宋体" w:eastAsia="仿宋_GB2312" w:cs="宋体"/>
                <w:kern w:val="0"/>
                <w:szCs w:val="21"/>
                <w:lang w:val="en-US" w:eastAsia="zh-CN"/>
              </w:rPr>
              <w:t>5</w:t>
            </w:r>
            <w:r>
              <w:rPr>
                <w:rFonts w:hint="eastAsia" w:ascii="仿宋_GB2312" w:hAnsi="宋体" w:eastAsia="仿宋_GB2312" w:cs="宋体"/>
                <w:kern w:val="0"/>
                <w:szCs w:val="21"/>
              </w:rPr>
              <w:t>月</w:t>
            </w:r>
            <w:r>
              <w:rPr>
                <w:rFonts w:hint="eastAsia" w:ascii="仿宋_GB2312" w:hAnsi="宋体" w:eastAsia="仿宋_GB2312" w:cs="宋体"/>
                <w:kern w:val="0"/>
                <w:szCs w:val="21"/>
                <w:lang w:val="en-US" w:eastAsia="zh-CN"/>
              </w:rPr>
              <w:t>31日前</w:t>
            </w:r>
          </w:p>
        </w:tc>
        <w:tc>
          <w:tcPr>
            <w:tcW w:w="668" w:type="pct"/>
            <w:tcBorders>
              <w:top w:val="single" w:color="auto" w:sz="4" w:space="0"/>
              <w:left w:val="nil"/>
              <w:bottom w:val="single" w:color="auto" w:sz="4" w:space="0"/>
              <w:right w:val="single" w:color="auto" w:sz="4" w:space="0"/>
            </w:tcBorders>
            <w:noWrap w:val="0"/>
            <w:vAlign w:val="top"/>
          </w:tcPr>
          <w:p w14:paraId="3C01A5A1">
            <w:pPr>
              <w:jc w:val="center"/>
              <w:rPr>
                <w:rFonts w:ascii="仿宋_GB2312" w:hAnsi="宋体" w:eastAsia="仿宋_GB2312" w:cs="宋体"/>
                <w:kern w:val="0"/>
                <w:szCs w:val="21"/>
              </w:rPr>
            </w:pPr>
            <w:r>
              <w:rPr>
                <w:rFonts w:hint="eastAsia" w:ascii="仿宋_GB2312" w:hAnsi="宋体" w:eastAsia="仿宋_GB2312" w:cs="宋体"/>
                <w:kern w:val="0"/>
                <w:szCs w:val="21"/>
              </w:rPr>
              <w:t>202</w:t>
            </w:r>
            <w:r>
              <w:rPr>
                <w:rFonts w:hint="eastAsia" w:ascii="仿宋_GB2312" w:hAnsi="宋体" w:eastAsia="仿宋_GB2312" w:cs="宋体"/>
                <w:kern w:val="0"/>
                <w:szCs w:val="21"/>
                <w:lang w:val="en-US" w:eastAsia="zh-CN"/>
              </w:rPr>
              <w:t>2</w:t>
            </w:r>
            <w:r>
              <w:rPr>
                <w:rFonts w:hint="eastAsia" w:ascii="仿宋_GB2312" w:hAnsi="宋体" w:eastAsia="仿宋_GB2312" w:cs="宋体"/>
                <w:kern w:val="0"/>
                <w:szCs w:val="21"/>
              </w:rPr>
              <w:t>年</w:t>
            </w:r>
            <w:r>
              <w:rPr>
                <w:rFonts w:hint="eastAsia" w:ascii="仿宋_GB2312" w:hAnsi="宋体" w:eastAsia="仿宋_GB2312" w:cs="宋体"/>
                <w:kern w:val="0"/>
                <w:szCs w:val="21"/>
                <w:lang w:val="en-US" w:eastAsia="zh-CN"/>
              </w:rPr>
              <w:t>5</w:t>
            </w:r>
            <w:r>
              <w:rPr>
                <w:rFonts w:hint="eastAsia" w:ascii="仿宋_GB2312" w:hAnsi="宋体" w:eastAsia="仿宋_GB2312" w:cs="宋体"/>
                <w:kern w:val="0"/>
                <w:szCs w:val="21"/>
              </w:rPr>
              <w:t>月</w:t>
            </w:r>
          </w:p>
        </w:tc>
        <w:tc>
          <w:tcPr>
            <w:tcW w:w="268" w:type="pct"/>
            <w:vMerge w:val="continue"/>
            <w:tcBorders>
              <w:top w:val="single" w:color="auto" w:sz="4" w:space="0"/>
              <w:left w:val="single" w:color="auto" w:sz="4" w:space="0"/>
              <w:right w:val="single" w:color="auto" w:sz="4" w:space="0"/>
            </w:tcBorders>
            <w:noWrap w:val="0"/>
            <w:vAlign w:val="center"/>
          </w:tcPr>
          <w:p w14:paraId="2CC33C75">
            <w:pPr>
              <w:widowControl/>
              <w:jc w:val="left"/>
              <w:rPr>
                <w:rFonts w:ascii="宋体" w:hAnsi="宋体" w:cs="宋体"/>
                <w:color w:val="000000"/>
                <w:kern w:val="0"/>
                <w:sz w:val="20"/>
                <w:szCs w:val="20"/>
              </w:rPr>
            </w:pPr>
          </w:p>
        </w:tc>
        <w:tc>
          <w:tcPr>
            <w:tcW w:w="530" w:type="pct"/>
            <w:tcBorders>
              <w:top w:val="single" w:color="auto" w:sz="4" w:space="0"/>
              <w:left w:val="nil"/>
              <w:bottom w:val="single" w:color="auto" w:sz="4" w:space="0"/>
              <w:right w:val="single" w:color="auto" w:sz="4" w:space="0"/>
            </w:tcBorders>
            <w:noWrap/>
            <w:vAlign w:val="center"/>
          </w:tcPr>
          <w:p w14:paraId="12B25DCC">
            <w:pPr>
              <w:widowControl/>
              <w:jc w:val="center"/>
              <w:rPr>
                <w:rFonts w:ascii="宋体" w:hAnsi="宋体" w:cs="宋体"/>
                <w:color w:val="000000"/>
                <w:kern w:val="0"/>
                <w:sz w:val="20"/>
                <w:szCs w:val="20"/>
              </w:rPr>
            </w:pPr>
            <w:r>
              <w:rPr>
                <w:rFonts w:hint="eastAsia" w:ascii="宋体" w:hAnsi="宋体" w:cs="宋体"/>
                <w:color w:val="000000"/>
                <w:kern w:val="0"/>
                <w:sz w:val="20"/>
                <w:szCs w:val="20"/>
              </w:rPr>
              <w:t>　7.5</w:t>
            </w:r>
          </w:p>
        </w:tc>
      </w:tr>
      <w:tr w14:paraId="36EC0BE4">
        <w:tblPrEx>
          <w:tblCellMar>
            <w:top w:w="0" w:type="dxa"/>
            <w:left w:w="108" w:type="dxa"/>
            <w:bottom w:w="0" w:type="dxa"/>
            <w:right w:w="108" w:type="dxa"/>
          </w:tblCellMar>
        </w:tblPrEx>
        <w:trPr>
          <w:trHeight w:val="975" w:hRule="atLeast"/>
        </w:trPr>
        <w:tc>
          <w:tcPr>
            <w:tcW w:w="1118" w:type="pct"/>
            <w:vMerge w:val="continue"/>
            <w:tcBorders>
              <w:top w:val="nil"/>
              <w:left w:val="single" w:color="auto" w:sz="4" w:space="0"/>
              <w:bottom w:val="single" w:color="000000" w:sz="4" w:space="0"/>
              <w:right w:val="single" w:color="auto" w:sz="4" w:space="0"/>
            </w:tcBorders>
            <w:noWrap w:val="0"/>
            <w:vAlign w:val="center"/>
          </w:tcPr>
          <w:p w14:paraId="565755E0">
            <w:pPr>
              <w:widowControl/>
              <w:jc w:val="left"/>
              <w:rPr>
                <w:rFonts w:ascii="宋体" w:hAnsi="宋体" w:cs="宋体"/>
                <w:color w:val="000000"/>
                <w:kern w:val="0"/>
                <w:sz w:val="20"/>
                <w:szCs w:val="20"/>
              </w:rPr>
            </w:pPr>
          </w:p>
        </w:tc>
        <w:tc>
          <w:tcPr>
            <w:tcW w:w="1030" w:type="pct"/>
            <w:vMerge w:val="continue"/>
            <w:tcBorders>
              <w:left w:val="single" w:color="auto" w:sz="4" w:space="0"/>
              <w:bottom w:val="single" w:color="auto" w:sz="4" w:space="0"/>
              <w:right w:val="single" w:color="auto" w:sz="4" w:space="0"/>
            </w:tcBorders>
            <w:noWrap w:val="0"/>
            <w:vAlign w:val="center"/>
          </w:tcPr>
          <w:p w14:paraId="62C3C2BE">
            <w:pPr>
              <w:widowControl/>
              <w:jc w:val="left"/>
              <w:rPr>
                <w:rFonts w:ascii="宋体" w:hAnsi="宋体" w:cs="宋体"/>
                <w:color w:val="000000"/>
                <w:kern w:val="0"/>
                <w:sz w:val="20"/>
                <w:szCs w:val="20"/>
              </w:rPr>
            </w:pPr>
          </w:p>
        </w:tc>
        <w:tc>
          <w:tcPr>
            <w:tcW w:w="804" w:type="pct"/>
            <w:tcBorders>
              <w:top w:val="nil"/>
              <w:left w:val="nil"/>
              <w:bottom w:val="single" w:color="auto" w:sz="4" w:space="0"/>
              <w:right w:val="single" w:color="auto" w:sz="4" w:space="0"/>
            </w:tcBorders>
            <w:noWrap w:val="0"/>
            <w:vAlign w:val="center"/>
          </w:tcPr>
          <w:p w14:paraId="6FDF0F89">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房租金额</w:t>
            </w:r>
          </w:p>
        </w:tc>
        <w:tc>
          <w:tcPr>
            <w:tcW w:w="579" w:type="pct"/>
            <w:tcBorders>
              <w:top w:val="nil"/>
              <w:left w:val="nil"/>
              <w:bottom w:val="single" w:color="auto" w:sz="4" w:space="0"/>
              <w:right w:val="single" w:color="auto" w:sz="4" w:space="0"/>
            </w:tcBorders>
            <w:noWrap w:val="0"/>
            <w:vAlign w:val="top"/>
          </w:tcPr>
          <w:p w14:paraId="1F835D7C">
            <w:pPr>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58.23万元</w:t>
            </w:r>
          </w:p>
        </w:tc>
        <w:tc>
          <w:tcPr>
            <w:tcW w:w="668" w:type="pct"/>
            <w:tcBorders>
              <w:top w:val="nil"/>
              <w:left w:val="nil"/>
              <w:bottom w:val="single" w:color="auto" w:sz="4" w:space="0"/>
              <w:right w:val="single" w:color="auto" w:sz="4" w:space="0"/>
            </w:tcBorders>
            <w:noWrap w:val="0"/>
            <w:vAlign w:val="top"/>
          </w:tcPr>
          <w:p w14:paraId="6824716A">
            <w:pPr>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58.23万元</w:t>
            </w:r>
          </w:p>
        </w:tc>
        <w:tc>
          <w:tcPr>
            <w:tcW w:w="268" w:type="pct"/>
            <w:vMerge w:val="continue"/>
            <w:tcBorders>
              <w:left w:val="single" w:color="auto" w:sz="4" w:space="0"/>
              <w:bottom w:val="single" w:color="auto" w:sz="4" w:space="0"/>
              <w:right w:val="single" w:color="auto" w:sz="4" w:space="0"/>
            </w:tcBorders>
            <w:noWrap w:val="0"/>
            <w:vAlign w:val="center"/>
          </w:tcPr>
          <w:p w14:paraId="24F4A019">
            <w:pPr>
              <w:widowControl/>
              <w:jc w:val="left"/>
              <w:rPr>
                <w:rFonts w:ascii="宋体" w:hAnsi="宋体" w:cs="宋体"/>
                <w:color w:val="000000"/>
                <w:kern w:val="0"/>
                <w:sz w:val="20"/>
                <w:szCs w:val="20"/>
              </w:rPr>
            </w:pPr>
          </w:p>
        </w:tc>
        <w:tc>
          <w:tcPr>
            <w:tcW w:w="530" w:type="pct"/>
            <w:tcBorders>
              <w:top w:val="nil"/>
              <w:left w:val="nil"/>
              <w:bottom w:val="single" w:color="auto" w:sz="4" w:space="0"/>
              <w:right w:val="single" w:color="auto" w:sz="4" w:space="0"/>
            </w:tcBorders>
            <w:noWrap/>
            <w:vAlign w:val="center"/>
          </w:tcPr>
          <w:p w14:paraId="309AD036">
            <w:pPr>
              <w:widowControl/>
              <w:jc w:val="center"/>
              <w:rPr>
                <w:rFonts w:ascii="宋体" w:hAnsi="宋体" w:cs="宋体"/>
                <w:color w:val="000000"/>
                <w:kern w:val="0"/>
                <w:sz w:val="20"/>
                <w:szCs w:val="20"/>
              </w:rPr>
            </w:pPr>
            <w:r>
              <w:rPr>
                <w:rFonts w:hint="eastAsia" w:ascii="宋体" w:hAnsi="宋体" w:cs="宋体"/>
                <w:color w:val="000000"/>
                <w:kern w:val="0"/>
                <w:sz w:val="20"/>
                <w:szCs w:val="20"/>
              </w:rPr>
              <w:t>　7.5</w:t>
            </w:r>
          </w:p>
        </w:tc>
      </w:tr>
      <w:tr w14:paraId="1CD5D5D1">
        <w:tblPrEx>
          <w:tblCellMar>
            <w:top w:w="0" w:type="dxa"/>
            <w:left w:w="108" w:type="dxa"/>
            <w:bottom w:w="0" w:type="dxa"/>
            <w:right w:w="108" w:type="dxa"/>
          </w:tblCellMar>
        </w:tblPrEx>
        <w:trPr>
          <w:trHeight w:val="675" w:hRule="atLeast"/>
        </w:trPr>
        <w:tc>
          <w:tcPr>
            <w:tcW w:w="1118" w:type="pct"/>
            <w:vMerge w:val="continue"/>
            <w:tcBorders>
              <w:top w:val="nil"/>
              <w:left w:val="single" w:color="auto" w:sz="4" w:space="0"/>
              <w:bottom w:val="single" w:color="000000" w:sz="4" w:space="0"/>
              <w:right w:val="single" w:color="auto" w:sz="4" w:space="0"/>
            </w:tcBorders>
            <w:noWrap w:val="0"/>
            <w:vAlign w:val="center"/>
          </w:tcPr>
          <w:p w14:paraId="159BCF12">
            <w:pPr>
              <w:widowControl/>
              <w:jc w:val="left"/>
              <w:rPr>
                <w:rFonts w:ascii="宋体" w:hAnsi="宋体" w:cs="宋体"/>
                <w:color w:val="000000"/>
                <w:kern w:val="0"/>
                <w:sz w:val="20"/>
                <w:szCs w:val="20"/>
              </w:rPr>
            </w:pPr>
          </w:p>
        </w:tc>
        <w:tc>
          <w:tcPr>
            <w:tcW w:w="1030" w:type="pct"/>
            <w:vMerge w:val="restart"/>
            <w:tcBorders>
              <w:top w:val="nil"/>
              <w:left w:val="single" w:color="auto" w:sz="4" w:space="0"/>
              <w:bottom w:val="single" w:color="auto" w:sz="4" w:space="0"/>
              <w:right w:val="single" w:color="auto" w:sz="4" w:space="0"/>
            </w:tcBorders>
            <w:noWrap w:val="0"/>
            <w:vAlign w:val="center"/>
          </w:tcPr>
          <w:p w14:paraId="301698E7">
            <w:pPr>
              <w:widowControl/>
              <w:jc w:val="center"/>
              <w:rPr>
                <w:rFonts w:ascii="宋体" w:hAnsi="宋体" w:cs="宋体"/>
                <w:color w:val="000000"/>
                <w:kern w:val="0"/>
                <w:sz w:val="20"/>
                <w:szCs w:val="20"/>
              </w:rPr>
            </w:pPr>
            <w:r>
              <w:rPr>
                <w:rFonts w:hint="eastAsia" w:ascii="宋体" w:hAnsi="宋体" w:cs="宋体"/>
                <w:color w:val="000000"/>
                <w:kern w:val="0"/>
                <w:sz w:val="20"/>
                <w:szCs w:val="20"/>
              </w:rPr>
              <w:t>效果（30）</w:t>
            </w:r>
          </w:p>
        </w:tc>
        <w:tc>
          <w:tcPr>
            <w:tcW w:w="804" w:type="pct"/>
            <w:tcBorders>
              <w:top w:val="nil"/>
              <w:left w:val="nil"/>
              <w:bottom w:val="single" w:color="auto" w:sz="4" w:space="0"/>
              <w:right w:val="single" w:color="auto" w:sz="4" w:space="0"/>
            </w:tcBorders>
            <w:noWrap w:val="0"/>
            <w:vAlign w:val="center"/>
          </w:tcPr>
          <w:p w14:paraId="3F667865">
            <w:pPr>
              <w:widowControl/>
              <w:jc w:val="center"/>
              <w:rPr>
                <w:rFonts w:ascii="宋体" w:hAnsi="宋体" w:cs="宋体"/>
                <w:color w:val="000000"/>
                <w:kern w:val="0"/>
                <w:sz w:val="20"/>
                <w:szCs w:val="20"/>
              </w:rPr>
            </w:pPr>
            <w:r>
              <w:rPr>
                <w:rFonts w:hint="eastAsia" w:ascii="宋体" w:hAnsi="宋体" w:cs="宋体"/>
                <w:color w:val="000000"/>
                <w:kern w:val="0"/>
                <w:sz w:val="20"/>
                <w:szCs w:val="20"/>
              </w:rPr>
              <w:t>租金</w:t>
            </w:r>
          </w:p>
        </w:tc>
        <w:tc>
          <w:tcPr>
            <w:tcW w:w="579" w:type="pct"/>
            <w:tcBorders>
              <w:top w:val="nil"/>
              <w:left w:val="nil"/>
              <w:bottom w:val="single" w:color="auto" w:sz="4" w:space="0"/>
              <w:right w:val="single" w:color="auto" w:sz="4" w:space="0"/>
            </w:tcBorders>
            <w:noWrap w:val="0"/>
            <w:vAlign w:val="top"/>
          </w:tcPr>
          <w:p w14:paraId="7EB1A12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按市场比价</w:t>
            </w:r>
          </w:p>
        </w:tc>
        <w:tc>
          <w:tcPr>
            <w:tcW w:w="668" w:type="pct"/>
            <w:tcBorders>
              <w:top w:val="nil"/>
              <w:left w:val="nil"/>
              <w:bottom w:val="single" w:color="auto" w:sz="4" w:space="0"/>
              <w:right w:val="single" w:color="auto" w:sz="4" w:space="0"/>
            </w:tcBorders>
            <w:noWrap w:val="0"/>
            <w:vAlign w:val="top"/>
          </w:tcPr>
          <w:p w14:paraId="26AAA8A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按市场比价</w:t>
            </w:r>
          </w:p>
        </w:tc>
        <w:tc>
          <w:tcPr>
            <w:tcW w:w="268" w:type="pct"/>
            <w:vMerge w:val="restart"/>
            <w:tcBorders>
              <w:top w:val="nil"/>
              <w:left w:val="single" w:color="auto" w:sz="4" w:space="0"/>
              <w:bottom w:val="single" w:color="auto" w:sz="4" w:space="0"/>
              <w:right w:val="single" w:color="auto" w:sz="4" w:space="0"/>
            </w:tcBorders>
            <w:noWrap/>
            <w:vAlign w:val="center"/>
          </w:tcPr>
          <w:p w14:paraId="5EB9DCFC">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530" w:type="pct"/>
            <w:tcBorders>
              <w:top w:val="nil"/>
              <w:left w:val="nil"/>
              <w:bottom w:val="single" w:color="auto" w:sz="4" w:space="0"/>
              <w:right w:val="single" w:color="auto" w:sz="4" w:space="0"/>
            </w:tcBorders>
            <w:noWrap/>
            <w:vAlign w:val="center"/>
          </w:tcPr>
          <w:p w14:paraId="3B40C193">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rPr>
              <w:t>15　</w:t>
            </w:r>
          </w:p>
        </w:tc>
      </w:tr>
      <w:tr w14:paraId="41309D20">
        <w:tblPrEx>
          <w:tblCellMar>
            <w:top w:w="0" w:type="dxa"/>
            <w:left w:w="108" w:type="dxa"/>
            <w:bottom w:w="0" w:type="dxa"/>
            <w:right w:w="108" w:type="dxa"/>
          </w:tblCellMar>
        </w:tblPrEx>
        <w:trPr>
          <w:trHeight w:val="630" w:hRule="atLeast"/>
        </w:trPr>
        <w:tc>
          <w:tcPr>
            <w:tcW w:w="1118" w:type="pct"/>
            <w:vMerge w:val="continue"/>
            <w:tcBorders>
              <w:top w:val="nil"/>
              <w:left w:val="single" w:color="auto" w:sz="4" w:space="0"/>
              <w:bottom w:val="single" w:color="000000" w:sz="4" w:space="0"/>
              <w:right w:val="single" w:color="auto" w:sz="4" w:space="0"/>
            </w:tcBorders>
            <w:noWrap w:val="0"/>
            <w:vAlign w:val="center"/>
          </w:tcPr>
          <w:p w14:paraId="574F0BDE">
            <w:pPr>
              <w:widowControl/>
              <w:jc w:val="left"/>
              <w:rPr>
                <w:rFonts w:ascii="宋体" w:hAnsi="宋体" w:cs="宋体"/>
                <w:color w:val="000000"/>
                <w:kern w:val="0"/>
                <w:sz w:val="20"/>
                <w:szCs w:val="20"/>
              </w:rPr>
            </w:pPr>
          </w:p>
        </w:tc>
        <w:tc>
          <w:tcPr>
            <w:tcW w:w="1030" w:type="pct"/>
            <w:vMerge w:val="continue"/>
            <w:tcBorders>
              <w:top w:val="nil"/>
              <w:left w:val="single" w:color="auto" w:sz="4" w:space="0"/>
              <w:bottom w:val="single" w:color="auto" w:sz="4" w:space="0"/>
              <w:right w:val="single" w:color="auto" w:sz="4" w:space="0"/>
            </w:tcBorders>
            <w:noWrap w:val="0"/>
            <w:vAlign w:val="center"/>
          </w:tcPr>
          <w:p w14:paraId="53EE3F11">
            <w:pPr>
              <w:widowControl/>
              <w:jc w:val="left"/>
              <w:rPr>
                <w:rFonts w:ascii="宋体" w:hAnsi="宋体" w:cs="宋体"/>
                <w:color w:val="000000"/>
                <w:kern w:val="0"/>
                <w:sz w:val="20"/>
                <w:szCs w:val="20"/>
              </w:rPr>
            </w:pPr>
          </w:p>
        </w:tc>
        <w:tc>
          <w:tcPr>
            <w:tcW w:w="804" w:type="pct"/>
            <w:tcBorders>
              <w:top w:val="nil"/>
              <w:left w:val="nil"/>
              <w:bottom w:val="single" w:color="auto" w:sz="4" w:space="0"/>
              <w:right w:val="single" w:color="auto" w:sz="4" w:space="0"/>
            </w:tcBorders>
            <w:noWrap w:val="0"/>
            <w:vAlign w:val="center"/>
          </w:tcPr>
          <w:p w14:paraId="27171CA4">
            <w:pPr>
              <w:widowControl/>
              <w:jc w:val="center"/>
              <w:rPr>
                <w:rFonts w:ascii="宋体" w:hAnsi="宋体" w:cs="宋体"/>
                <w:color w:val="000000"/>
                <w:kern w:val="0"/>
                <w:sz w:val="20"/>
                <w:szCs w:val="20"/>
              </w:rPr>
            </w:pPr>
            <w:r>
              <w:rPr>
                <w:rFonts w:hint="eastAsia" w:ascii="宋体" w:hAnsi="宋体" w:cs="宋体"/>
                <w:color w:val="000000"/>
                <w:kern w:val="0"/>
                <w:sz w:val="20"/>
                <w:szCs w:val="20"/>
              </w:rPr>
              <w:t>保障社会和谐稳定发展</w:t>
            </w:r>
          </w:p>
        </w:tc>
        <w:tc>
          <w:tcPr>
            <w:tcW w:w="579" w:type="pct"/>
            <w:tcBorders>
              <w:top w:val="nil"/>
              <w:left w:val="nil"/>
              <w:bottom w:val="single" w:color="auto" w:sz="4" w:space="0"/>
              <w:right w:val="single" w:color="auto" w:sz="4" w:space="0"/>
            </w:tcBorders>
            <w:noWrap w:val="0"/>
            <w:vAlign w:val="center"/>
          </w:tcPr>
          <w:p w14:paraId="5DA6CD99">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rPr>
              <w:t>　满意度100</w:t>
            </w:r>
            <w:r>
              <w:rPr>
                <w:rFonts w:hint="eastAsia" w:ascii="宋体" w:hAnsi="宋体" w:cs="宋体"/>
                <w:color w:val="000000"/>
                <w:kern w:val="0"/>
                <w:sz w:val="20"/>
                <w:szCs w:val="20"/>
                <w:lang w:val="en-US" w:eastAsia="zh-CN"/>
              </w:rPr>
              <w:t>%</w:t>
            </w:r>
          </w:p>
        </w:tc>
        <w:tc>
          <w:tcPr>
            <w:tcW w:w="668" w:type="pct"/>
            <w:tcBorders>
              <w:top w:val="nil"/>
              <w:left w:val="nil"/>
              <w:bottom w:val="single" w:color="auto" w:sz="4" w:space="0"/>
              <w:right w:val="single" w:color="auto" w:sz="4" w:space="0"/>
            </w:tcBorders>
            <w:noWrap w:val="0"/>
            <w:vAlign w:val="center"/>
          </w:tcPr>
          <w:p w14:paraId="19959999">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rPr>
              <w:t>满意度100</w:t>
            </w:r>
            <w:r>
              <w:rPr>
                <w:rFonts w:hint="eastAsia" w:ascii="宋体" w:hAnsi="宋体" w:cs="宋体"/>
                <w:color w:val="000000"/>
                <w:kern w:val="0"/>
                <w:sz w:val="20"/>
                <w:szCs w:val="20"/>
                <w:lang w:val="en-US" w:eastAsia="zh-CN"/>
              </w:rPr>
              <w:t>%</w:t>
            </w:r>
          </w:p>
        </w:tc>
        <w:tc>
          <w:tcPr>
            <w:tcW w:w="268" w:type="pct"/>
            <w:vMerge w:val="continue"/>
            <w:tcBorders>
              <w:top w:val="nil"/>
              <w:left w:val="single" w:color="auto" w:sz="4" w:space="0"/>
              <w:bottom w:val="single" w:color="auto" w:sz="4" w:space="0"/>
              <w:right w:val="single" w:color="auto" w:sz="4" w:space="0"/>
            </w:tcBorders>
            <w:noWrap w:val="0"/>
            <w:vAlign w:val="center"/>
          </w:tcPr>
          <w:p w14:paraId="2641FC2B">
            <w:pPr>
              <w:widowControl/>
              <w:jc w:val="left"/>
              <w:rPr>
                <w:rFonts w:ascii="宋体" w:hAnsi="宋体" w:cs="宋体"/>
                <w:color w:val="000000"/>
                <w:kern w:val="0"/>
                <w:sz w:val="20"/>
                <w:szCs w:val="20"/>
              </w:rPr>
            </w:pPr>
          </w:p>
        </w:tc>
        <w:tc>
          <w:tcPr>
            <w:tcW w:w="530" w:type="pct"/>
            <w:tcBorders>
              <w:top w:val="nil"/>
              <w:left w:val="nil"/>
              <w:bottom w:val="single" w:color="auto" w:sz="4" w:space="0"/>
              <w:right w:val="single" w:color="auto" w:sz="4" w:space="0"/>
            </w:tcBorders>
            <w:noWrap/>
            <w:vAlign w:val="center"/>
          </w:tcPr>
          <w:p w14:paraId="6ABD8736">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rPr>
              <w:t>15　</w:t>
            </w:r>
          </w:p>
        </w:tc>
      </w:tr>
      <w:tr w14:paraId="2EB2B388">
        <w:tblPrEx>
          <w:tblCellMar>
            <w:top w:w="0" w:type="dxa"/>
            <w:left w:w="108" w:type="dxa"/>
            <w:bottom w:w="0" w:type="dxa"/>
            <w:right w:w="108" w:type="dxa"/>
          </w:tblCellMar>
        </w:tblPrEx>
        <w:trPr>
          <w:trHeight w:val="690" w:hRule="atLeast"/>
        </w:trPr>
        <w:tc>
          <w:tcPr>
            <w:tcW w:w="1118" w:type="pct"/>
            <w:vMerge w:val="continue"/>
            <w:tcBorders>
              <w:top w:val="nil"/>
              <w:left w:val="single" w:color="auto" w:sz="4" w:space="0"/>
              <w:bottom w:val="single" w:color="000000" w:sz="4" w:space="0"/>
              <w:right w:val="single" w:color="auto" w:sz="4" w:space="0"/>
            </w:tcBorders>
            <w:noWrap w:val="0"/>
            <w:vAlign w:val="center"/>
          </w:tcPr>
          <w:p w14:paraId="68CDDD44">
            <w:pPr>
              <w:widowControl/>
              <w:jc w:val="left"/>
              <w:rPr>
                <w:rFonts w:ascii="宋体" w:hAnsi="宋体" w:cs="宋体"/>
                <w:color w:val="000000"/>
                <w:kern w:val="0"/>
                <w:sz w:val="20"/>
                <w:szCs w:val="20"/>
              </w:rPr>
            </w:pPr>
          </w:p>
        </w:tc>
        <w:tc>
          <w:tcPr>
            <w:tcW w:w="1030" w:type="pct"/>
            <w:vMerge w:val="continue"/>
            <w:tcBorders>
              <w:top w:val="nil"/>
              <w:left w:val="single" w:color="auto" w:sz="4" w:space="0"/>
              <w:bottom w:val="single" w:color="auto" w:sz="4" w:space="0"/>
              <w:right w:val="single" w:color="auto" w:sz="4" w:space="0"/>
            </w:tcBorders>
            <w:noWrap w:val="0"/>
            <w:vAlign w:val="center"/>
          </w:tcPr>
          <w:p w14:paraId="0D8EFD8B">
            <w:pPr>
              <w:widowControl/>
              <w:jc w:val="left"/>
              <w:rPr>
                <w:rFonts w:ascii="宋体" w:hAnsi="宋体" w:cs="宋体"/>
                <w:color w:val="000000"/>
                <w:kern w:val="0"/>
                <w:sz w:val="20"/>
                <w:szCs w:val="20"/>
              </w:rPr>
            </w:pPr>
          </w:p>
        </w:tc>
        <w:tc>
          <w:tcPr>
            <w:tcW w:w="804" w:type="pct"/>
            <w:tcBorders>
              <w:top w:val="nil"/>
              <w:left w:val="nil"/>
              <w:bottom w:val="single" w:color="auto" w:sz="4" w:space="0"/>
              <w:right w:val="single" w:color="auto" w:sz="4" w:space="0"/>
            </w:tcBorders>
            <w:noWrap w:val="0"/>
            <w:vAlign w:val="center"/>
          </w:tcPr>
          <w:p w14:paraId="1FA8F10C">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指标3</w:t>
            </w:r>
          </w:p>
        </w:tc>
        <w:tc>
          <w:tcPr>
            <w:tcW w:w="579" w:type="pct"/>
            <w:tcBorders>
              <w:top w:val="nil"/>
              <w:left w:val="nil"/>
              <w:bottom w:val="single" w:color="auto" w:sz="4" w:space="0"/>
              <w:right w:val="single" w:color="auto" w:sz="4" w:space="0"/>
            </w:tcBorders>
            <w:noWrap w:val="0"/>
            <w:vAlign w:val="center"/>
          </w:tcPr>
          <w:p w14:paraId="34DCD62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68" w:type="pct"/>
            <w:tcBorders>
              <w:top w:val="nil"/>
              <w:left w:val="nil"/>
              <w:bottom w:val="single" w:color="auto" w:sz="4" w:space="0"/>
              <w:right w:val="single" w:color="auto" w:sz="4" w:space="0"/>
            </w:tcBorders>
            <w:noWrap w:val="0"/>
            <w:vAlign w:val="center"/>
          </w:tcPr>
          <w:p w14:paraId="25C18A2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68" w:type="pct"/>
            <w:vMerge w:val="continue"/>
            <w:tcBorders>
              <w:top w:val="nil"/>
              <w:left w:val="single" w:color="auto" w:sz="4" w:space="0"/>
              <w:bottom w:val="single" w:color="auto" w:sz="4" w:space="0"/>
              <w:right w:val="single" w:color="auto" w:sz="4" w:space="0"/>
            </w:tcBorders>
            <w:noWrap w:val="0"/>
            <w:vAlign w:val="center"/>
          </w:tcPr>
          <w:p w14:paraId="51248682">
            <w:pPr>
              <w:widowControl/>
              <w:jc w:val="left"/>
              <w:rPr>
                <w:rFonts w:ascii="宋体" w:hAnsi="宋体" w:cs="宋体"/>
                <w:color w:val="000000"/>
                <w:kern w:val="0"/>
                <w:sz w:val="20"/>
                <w:szCs w:val="20"/>
              </w:rPr>
            </w:pPr>
          </w:p>
        </w:tc>
        <w:tc>
          <w:tcPr>
            <w:tcW w:w="530" w:type="pct"/>
            <w:tcBorders>
              <w:top w:val="nil"/>
              <w:left w:val="nil"/>
              <w:bottom w:val="single" w:color="auto" w:sz="4" w:space="0"/>
              <w:right w:val="single" w:color="auto" w:sz="4" w:space="0"/>
            </w:tcBorders>
            <w:noWrap/>
            <w:vAlign w:val="center"/>
          </w:tcPr>
          <w:p w14:paraId="05DF217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7E518E0">
        <w:tblPrEx>
          <w:tblCellMar>
            <w:top w:w="0" w:type="dxa"/>
            <w:left w:w="108" w:type="dxa"/>
            <w:bottom w:w="0" w:type="dxa"/>
            <w:right w:w="108" w:type="dxa"/>
          </w:tblCellMar>
        </w:tblPrEx>
        <w:trPr>
          <w:trHeight w:val="699" w:hRule="atLeast"/>
        </w:trPr>
        <w:tc>
          <w:tcPr>
            <w:tcW w:w="5000" w:type="pct"/>
            <w:gridSpan w:val="7"/>
            <w:tcBorders>
              <w:top w:val="single" w:color="auto" w:sz="4" w:space="0"/>
              <w:left w:val="single" w:color="auto" w:sz="4" w:space="0"/>
              <w:bottom w:val="single" w:color="auto" w:sz="4" w:space="0"/>
              <w:right w:val="single" w:color="auto" w:sz="4" w:space="0"/>
            </w:tcBorders>
            <w:noWrap w:val="0"/>
            <w:vAlign w:val="center"/>
          </w:tcPr>
          <w:p w14:paraId="53CD46E7">
            <w:pPr>
              <w:widowControl/>
              <w:jc w:val="left"/>
              <w:rPr>
                <w:rFonts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14:paraId="0C51E4BE">
        <w:tblPrEx>
          <w:tblCellMar>
            <w:top w:w="0" w:type="dxa"/>
            <w:left w:w="108" w:type="dxa"/>
            <w:bottom w:w="0" w:type="dxa"/>
            <w:right w:w="108" w:type="dxa"/>
          </w:tblCellMar>
        </w:tblPrEx>
        <w:trPr>
          <w:trHeight w:val="702" w:hRule="atLeast"/>
        </w:trPr>
        <w:tc>
          <w:tcPr>
            <w:tcW w:w="1118" w:type="pct"/>
            <w:tcBorders>
              <w:top w:val="single" w:color="auto" w:sz="4" w:space="0"/>
              <w:left w:val="single" w:color="auto" w:sz="4" w:space="0"/>
              <w:bottom w:val="single" w:color="auto" w:sz="4" w:space="0"/>
              <w:right w:val="single" w:color="auto" w:sz="4" w:space="0"/>
            </w:tcBorders>
            <w:noWrap w:val="0"/>
            <w:vAlign w:val="center"/>
          </w:tcPr>
          <w:p w14:paraId="49DD454B">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1030" w:type="pct"/>
            <w:tcBorders>
              <w:top w:val="single" w:color="auto" w:sz="4" w:space="0"/>
              <w:left w:val="single" w:color="auto" w:sz="4" w:space="0"/>
              <w:bottom w:val="single" w:color="auto" w:sz="4" w:space="0"/>
              <w:right w:val="single" w:color="auto" w:sz="4" w:space="0"/>
            </w:tcBorders>
            <w:noWrap w:val="0"/>
            <w:vAlign w:val="center"/>
          </w:tcPr>
          <w:p w14:paraId="73123D3F">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804" w:type="pct"/>
            <w:tcBorders>
              <w:top w:val="single" w:color="auto" w:sz="4" w:space="0"/>
              <w:left w:val="nil"/>
              <w:bottom w:val="single" w:color="auto" w:sz="4" w:space="0"/>
              <w:right w:val="single" w:color="auto" w:sz="4" w:space="0"/>
            </w:tcBorders>
            <w:noWrap w:val="0"/>
            <w:vAlign w:val="center"/>
          </w:tcPr>
          <w:p w14:paraId="3C3D5767">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579" w:type="pct"/>
            <w:tcBorders>
              <w:top w:val="single" w:color="auto" w:sz="4" w:space="0"/>
              <w:left w:val="nil"/>
              <w:bottom w:val="single" w:color="auto" w:sz="4" w:space="0"/>
              <w:right w:val="single" w:color="auto" w:sz="4" w:space="0"/>
            </w:tcBorders>
            <w:noWrap w:val="0"/>
            <w:vAlign w:val="center"/>
          </w:tcPr>
          <w:p w14:paraId="092A617B">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668" w:type="pct"/>
            <w:tcBorders>
              <w:top w:val="single" w:color="auto" w:sz="4" w:space="0"/>
              <w:left w:val="nil"/>
              <w:bottom w:val="single" w:color="auto" w:sz="4" w:space="0"/>
              <w:right w:val="single" w:color="auto" w:sz="4" w:space="0"/>
            </w:tcBorders>
            <w:noWrap w:val="0"/>
            <w:vAlign w:val="center"/>
          </w:tcPr>
          <w:p w14:paraId="399014D8">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268" w:type="pct"/>
            <w:tcBorders>
              <w:top w:val="single" w:color="auto" w:sz="4" w:space="0"/>
              <w:left w:val="nil"/>
              <w:bottom w:val="single" w:color="auto" w:sz="4" w:space="0"/>
              <w:right w:val="single" w:color="auto" w:sz="4" w:space="0"/>
            </w:tcBorders>
            <w:noWrap/>
            <w:vAlign w:val="center"/>
          </w:tcPr>
          <w:p w14:paraId="113CFA38">
            <w:pPr>
              <w:widowControl/>
              <w:jc w:val="center"/>
              <w:rPr>
                <w:rFonts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530" w:type="pct"/>
            <w:tcBorders>
              <w:top w:val="single" w:color="auto" w:sz="4" w:space="0"/>
              <w:left w:val="nil"/>
              <w:bottom w:val="single" w:color="auto" w:sz="4" w:space="0"/>
              <w:right w:val="single" w:color="auto" w:sz="4" w:space="0"/>
            </w:tcBorders>
            <w:noWrap/>
            <w:vAlign w:val="center"/>
          </w:tcPr>
          <w:p w14:paraId="7A1C87CD">
            <w:pPr>
              <w:widowControl/>
              <w:jc w:val="center"/>
              <w:rPr>
                <w:rFonts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r>
      <w:tr w14:paraId="0232873F">
        <w:tblPrEx>
          <w:tblCellMar>
            <w:top w:w="0" w:type="dxa"/>
            <w:left w:w="108" w:type="dxa"/>
            <w:bottom w:w="0" w:type="dxa"/>
            <w:right w:w="108" w:type="dxa"/>
          </w:tblCellMar>
        </w:tblPrEx>
        <w:trPr>
          <w:trHeight w:val="90" w:hRule="atLeast"/>
        </w:trPr>
        <w:tc>
          <w:tcPr>
            <w:tcW w:w="1118" w:type="pct"/>
            <w:vMerge w:val="restart"/>
            <w:tcBorders>
              <w:top w:val="single" w:color="auto" w:sz="4" w:space="0"/>
              <w:left w:val="single" w:color="auto" w:sz="4" w:space="0"/>
              <w:bottom w:val="single" w:color="auto" w:sz="4" w:space="0"/>
              <w:right w:val="single" w:color="auto" w:sz="4" w:space="0"/>
            </w:tcBorders>
            <w:noWrap w:val="0"/>
            <w:vAlign w:val="center"/>
          </w:tcPr>
          <w:p w14:paraId="576605BE">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预算管理情况（20）</w:t>
            </w:r>
          </w:p>
        </w:tc>
        <w:tc>
          <w:tcPr>
            <w:tcW w:w="1030" w:type="pct"/>
            <w:vMerge w:val="restart"/>
            <w:tcBorders>
              <w:top w:val="single" w:color="auto" w:sz="4" w:space="0"/>
              <w:left w:val="single" w:color="auto" w:sz="4" w:space="0"/>
              <w:bottom w:val="single" w:color="auto" w:sz="4" w:space="0"/>
              <w:right w:val="single" w:color="auto" w:sz="4" w:space="0"/>
            </w:tcBorders>
            <w:noWrap w:val="0"/>
            <w:vAlign w:val="center"/>
          </w:tcPr>
          <w:p w14:paraId="45456011">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财务管理（4）</w:t>
            </w:r>
          </w:p>
        </w:tc>
        <w:tc>
          <w:tcPr>
            <w:tcW w:w="804" w:type="pct"/>
            <w:tcBorders>
              <w:top w:val="single" w:color="auto" w:sz="4" w:space="0"/>
              <w:left w:val="nil"/>
              <w:bottom w:val="single" w:color="auto" w:sz="4" w:space="0"/>
              <w:right w:val="single" w:color="auto" w:sz="4" w:space="0"/>
            </w:tcBorders>
            <w:noWrap w:val="0"/>
            <w:vAlign w:val="center"/>
          </w:tcPr>
          <w:p w14:paraId="234865F4">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579" w:type="pct"/>
            <w:tcBorders>
              <w:top w:val="single" w:color="auto" w:sz="4" w:space="0"/>
              <w:left w:val="nil"/>
              <w:bottom w:val="single" w:color="auto" w:sz="4" w:space="0"/>
              <w:right w:val="single" w:color="auto" w:sz="4" w:space="0"/>
            </w:tcBorders>
            <w:noWrap w:val="0"/>
            <w:vAlign w:val="center"/>
          </w:tcPr>
          <w:p w14:paraId="16097533">
            <w:pPr>
              <w:widowControl/>
              <w:jc w:val="both"/>
              <w:rPr>
                <w:rFonts w:ascii="宋体" w:hAnsi="宋体" w:cs="宋体"/>
                <w:color w:val="000000"/>
                <w:kern w:val="0"/>
                <w:sz w:val="20"/>
                <w:szCs w:val="20"/>
              </w:rPr>
            </w:pPr>
            <w:r>
              <w:rPr>
                <w:rFonts w:hint="eastAsia" w:ascii="宋体" w:hAnsi="宋体" w:cs="宋体"/>
                <w:color w:val="000000"/>
                <w:kern w:val="0"/>
                <w:sz w:val="20"/>
                <w:szCs w:val="20"/>
                <w:lang w:val="en-US" w:eastAsia="zh-CN"/>
              </w:rPr>
              <w:t>建立相关财务管理制度，且完整合规</w:t>
            </w:r>
            <w:r>
              <w:rPr>
                <w:rFonts w:hint="eastAsia" w:ascii="宋体" w:hAnsi="宋体" w:cs="宋体"/>
                <w:color w:val="000000"/>
                <w:kern w:val="0"/>
                <w:sz w:val="20"/>
                <w:szCs w:val="20"/>
              </w:rPr>
              <w:t>　</w:t>
            </w:r>
          </w:p>
        </w:tc>
        <w:tc>
          <w:tcPr>
            <w:tcW w:w="668" w:type="pct"/>
            <w:tcBorders>
              <w:top w:val="single" w:color="auto" w:sz="4" w:space="0"/>
              <w:left w:val="nil"/>
              <w:bottom w:val="single" w:color="auto" w:sz="4" w:space="0"/>
              <w:right w:val="single" w:color="auto" w:sz="4" w:space="0"/>
            </w:tcBorders>
            <w:noWrap w:val="0"/>
            <w:vAlign w:val="center"/>
          </w:tcPr>
          <w:p w14:paraId="35319FB4">
            <w:pPr>
              <w:widowControl/>
              <w:jc w:val="both"/>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相关财务管理制度完整规范</w:t>
            </w:r>
          </w:p>
        </w:tc>
        <w:tc>
          <w:tcPr>
            <w:tcW w:w="268" w:type="pct"/>
            <w:tcBorders>
              <w:top w:val="single" w:color="auto" w:sz="4" w:space="0"/>
              <w:left w:val="nil"/>
              <w:bottom w:val="single" w:color="auto" w:sz="4" w:space="0"/>
              <w:right w:val="single" w:color="auto" w:sz="4" w:space="0"/>
            </w:tcBorders>
            <w:noWrap/>
            <w:vAlign w:val="center"/>
          </w:tcPr>
          <w:p w14:paraId="76090136">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530" w:type="pct"/>
            <w:tcBorders>
              <w:top w:val="single" w:color="auto" w:sz="4" w:space="0"/>
              <w:left w:val="nil"/>
              <w:bottom w:val="single" w:color="auto" w:sz="4" w:space="0"/>
              <w:right w:val="single" w:color="auto" w:sz="4" w:space="0"/>
            </w:tcBorders>
            <w:noWrap/>
            <w:vAlign w:val="center"/>
          </w:tcPr>
          <w:p w14:paraId="6BD24AD9">
            <w:pPr>
              <w:widowControl/>
              <w:jc w:val="center"/>
              <w:rPr>
                <w:rFonts w:ascii="宋体" w:hAnsi="宋体" w:cs="宋体"/>
                <w:color w:val="000000"/>
                <w:kern w:val="0"/>
                <w:sz w:val="20"/>
                <w:szCs w:val="20"/>
              </w:rPr>
            </w:pPr>
            <w:r>
              <w:rPr>
                <w:rFonts w:hint="eastAsia" w:ascii="宋体" w:hAnsi="宋体" w:cs="宋体"/>
                <w:color w:val="000000"/>
                <w:kern w:val="0"/>
                <w:sz w:val="20"/>
                <w:szCs w:val="20"/>
              </w:rPr>
              <w:t>　1</w:t>
            </w:r>
          </w:p>
        </w:tc>
      </w:tr>
      <w:tr w14:paraId="30E6B6FC">
        <w:tblPrEx>
          <w:tblCellMar>
            <w:top w:w="0" w:type="dxa"/>
            <w:left w:w="108" w:type="dxa"/>
            <w:bottom w:w="0" w:type="dxa"/>
            <w:right w:w="108" w:type="dxa"/>
          </w:tblCellMar>
        </w:tblPrEx>
        <w:trPr>
          <w:trHeight w:val="1122" w:hRule="atLeast"/>
        </w:trPr>
        <w:tc>
          <w:tcPr>
            <w:tcW w:w="1118" w:type="pct"/>
            <w:vMerge w:val="continue"/>
            <w:tcBorders>
              <w:top w:val="single" w:color="auto" w:sz="4" w:space="0"/>
              <w:left w:val="single" w:color="auto" w:sz="4" w:space="0"/>
              <w:bottom w:val="single" w:color="000000" w:sz="4" w:space="0"/>
              <w:right w:val="single" w:color="auto" w:sz="4" w:space="0"/>
            </w:tcBorders>
            <w:noWrap w:val="0"/>
            <w:vAlign w:val="center"/>
          </w:tcPr>
          <w:p w14:paraId="0BD2D025">
            <w:pPr>
              <w:widowControl/>
              <w:jc w:val="left"/>
              <w:rPr>
                <w:rFonts w:ascii="宋体" w:hAnsi="宋体" w:cs="宋体"/>
                <w:color w:val="000000"/>
                <w:kern w:val="0"/>
                <w:sz w:val="20"/>
                <w:szCs w:val="20"/>
              </w:rPr>
            </w:pPr>
          </w:p>
        </w:tc>
        <w:tc>
          <w:tcPr>
            <w:tcW w:w="1030" w:type="pct"/>
            <w:vMerge w:val="continue"/>
            <w:tcBorders>
              <w:top w:val="single" w:color="auto" w:sz="4" w:space="0"/>
              <w:left w:val="single" w:color="auto" w:sz="4" w:space="0"/>
              <w:bottom w:val="single" w:color="auto" w:sz="4" w:space="0"/>
              <w:right w:val="single" w:color="auto" w:sz="4" w:space="0"/>
            </w:tcBorders>
            <w:noWrap w:val="0"/>
            <w:vAlign w:val="center"/>
          </w:tcPr>
          <w:p w14:paraId="3E04CEF1">
            <w:pPr>
              <w:widowControl/>
              <w:jc w:val="left"/>
              <w:rPr>
                <w:rFonts w:ascii="宋体" w:hAnsi="宋体" w:cs="宋体"/>
                <w:color w:val="000000"/>
                <w:kern w:val="0"/>
                <w:sz w:val="20"/>
                <w:szCs w:val="20"/>
              </w:rPr>
            </w:pPr>
          </w:p>
        </w:tc>
        <w:tc>
          <w:tcPr>
            <w:tcW w:w="804" w:type="pct"/>
            <w:tcBorders>
              <w:top w:val="single" w:color="auto" w:sz="4" w:space="0"/>
              <w:left w:val="nil"/>
              <w:bottom w:val="single" w:color="auto" w:sz="4" w:space="0"/>
              <w:right w:val="single" w:color="auto" w:sz="4" w:space="0"/>
            </w:tcBorders>
            <w:noWrap w:val="0"/>
            <w:vAlign w:val="center"/>
          </w:tcPr>
          <w:p w14:paraId="353F3DAC">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579" w:type="pct"/>
            <w:tcBorders>
              <w:top w:val="single" w:color="auto" w:sz="4" w:space="0"/>
              <w:left w:val="nil"/>
              <w:bottom w:val="single" w:color="auto" w:sz="4" w:space="0"/>
              <w:right w:val="single" w:color="auto" w:sz="4" w:space="0"/>
            </w:tcBorders>
            <w:noWrap w:val="0"/>
            <w:vAlign w:val="center"/>
          </w:tcPr>
          <w:p w14:paraId="4D3DFC22">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资金使用符合相关管理要求，使用合规，安全</w:t>
            </w:r>
            <w:r>
              <w:rPr>
                <w:rFonts w:hint="eastAsia" w:ascii="宋体" w:hAnsi="宋体" w:cs="宋体"/>
                <w:color w:val="000000"/>
                <w:kern w:val="0"/>
                <w:sz w:val="20"/>
                <w:szCs w:val="20"/>
              </w:rPr>
              <w:t>　</w:t>
            </w:r>
          </w:p>
        </w:tc>
        <w:tc>
          <w:tcPr>
            <w:tcW w:w="668" w:type="pct"/>
            <w:tcBorders>
              <w:top w:val="single" w:color="auto" w:sz="4" w:space="0"/>
              <w:left w:val="nil"/>
              <w:bottom w:val="single" w:color="auto" w:sz="4" w:space="0"/>
              <w:right w:val="single" w:color="auto" w:sz="4" w:space="0"/>
            </w:tcBorders>
            <w:noWrap w:val="0"/>
            <w:vAlign w:val="center"/>
          </w:tcPr>
          <w:p w14:paraId="57C88311">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资金使用基本合规，安全</w:t>
            </w:r>
            <w:r>
              <w:rPr>
                <w:rFonts w:hint="eastAsia" w:ascii="宋体" w:hAnsi="宋体" w:cs="宋体"/>
                <w:color w:val="000000"/>
                <w:kern w:val="0"/>
                <w:sz w:val="20"/>
                <w:szCs w:val="20"/>
              </w:rPr>
              <w:t>　</w:t>
            </w:r>
          </w:p>
        </w:tc>
        <w:tc>
          <w:tcPr>
            <w:tcW w:w="268" w:type="pct"/>
            <w:tcBorders>
              <w:top w:val="single" w:color="auto" w:sz="4" w:space="0"/>
              <w:left w:val="nil"/>
              <w:bottom w:val="single" w:color="auto" w:sz="4" w:space="0"/>
              <w:right w:val="single" w:color="auto" w:sz="4" w:space="0"/>
            </w:tcBorders>
            <w:noWrap/>
            <w:vAlign w:val="center"/>
          </w:tcPr>
          <w:p w14:paraId="22F643EF">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530" w:type="pct"/>
            <w:tcBorders>
              <w:top w:val="single" w:color="auto" w:sz="4" w:space="0"/>
              <w:left w:val="nil"/>
              <w:bottom w:val="single" w:color="auto" w:sz="4" w:space="0"/>
              <w:right w:val="single" w:color="auto" w:sz="4" w:space="0"/>
            </w:tcBorders>
            <w:noWrap/>
            <w:vAlign w:val="center"/>
          </w:tcPr>
          <w:p w14:paraId="7736F5F3">
            <w:pPr>
              <w:widowControl/>
              <w:jc w:val="center"/>
              <w:rPr>
                <w:rFonts w:ascii="宋体" w:hAnsi="宋体" w:cs="宋体"/>
                <w:color w:val="000000"/>
                <w:kern w:val="0"/>
                <w:sz w:val="20"/>
                <w:szCs w:val="20"/>
              </w:rPr>
            </w:pPr>
            <w:r>
              <w:rPr>
                <w:rFonts w:hint="eastAsia" w:ascii="宋体" w:hAnsi="宋体" w:cs="宋体"/>
                <w:color w:val="000000"/>
                <w:kern w:val="0"/>
                <w:sz w:val="20"/>
                <w:szCs w:val="20"/>
              </w:rPr>
              <w:t>2　</w:t>
            </w:r>
          </w:p>
        </w:tc>
      </w:tr>
      <w:tr w14:paraId="7CB92C3C">
        <w:tblPrEx>
          <w:tblCellMar>
            <w:top w:w="0" w:type="dxa"/>
            <w:left w:w="108" w:type="dxa"/>
            <w:bottom w:w="0" w:type="dxa"/>
            <w:right w:w="108" w:type="dxa"/>
          </w:tblCellMar>
        </w:tblPrEx>
        <w:trPr>
          <w:trHeight w:val="1035" w:hRule="atLeast"/>
        </w:trPr>
        <w:tc>
          <w:tcPr>
            <w:tcW w:w="1118" w:type="pct"/>
            <w:vMerge w:val="continue"/>
            <w:tcBorders>
              <w:top w:val="nil"/>
              <w:left w:val="single" w:color="auto" w:sz="4" w:space="0"/>
              <w:bottom w:val="single" w:color="000000" w:sz="4" w:space="0"/>
              <w:right w:val="single" w:color="auto" w:sz="4" w:space="0"/>
            </w:tcBorders>
            <w:noWrap w:val="0"/>
            <w:vAlign w:val="center"/>
          </w:tcPr>
          <w:p w14:paraId="48A9AC87">
            <w:pPr>
              <w:widowControl/>
              <w:jc w:val="left"/>
              <w:rPr>
                <w:rFonts w:ascii="宋体" w:hAnsi="宋体" w:cs="宋体"/>
                <w:color w:val="000000"/>
                <w:kern w:val="0"/>
                <w:sz w:val="20"/>
                <w:szCs w:val="20"/>
              </w:rPr>
            </w:pPr>
          </w:p>
        </w:tc>
        <w:tc>
          <w:tcPr>
            <w:tcW w:w="1030" w:type="pct"/>
            <w:vMerge w:val="continue"/>
            <w:tcBorders>
              <w:top w:val="nil"/>
              <w:left w:val="single" w:color="auto" w:sz="4" w:space="0"/>
              <w:bottom w:val="single" w:color="auto" w:sz="4" w:space="0"/>
              <w:right w:val="single" w:color="auto" w:sz="4" w:space="0"/>
            </w:tcBorders>
            <w:noWrap w:val="0"/>
            <w:vAlign w:val="center"/>
          </w:tcPr>
          <w:p w14:paraId="2E5341B6">
            <w:pPr>
              <w:widowControl/>
              <w:jc w:val="left"/>
              <w:rPr>
                <w:rFonts w:ascii="宋体" w:hAnsi="宋体" w:cs="宋体"/>
                <w:color w:val="000000"/>
                <w:kern w:val="0"/>
                <w:sz w:val="20"/>
                <w:szCs w:val="20"/>
              </w:rPr>
            </w:pPr>
          </w:p>
        </w:tc>
        <w:tc>
          <w:tcPr>
            <w:tcW w:w="804" w:type="pct"/>
            <w:tcBorders>
              <w:top w:val="nil"/>
              <w:left w:val="nil"/>
              <w:bottom w:val="single" w:color="auto" w:sz="4" w:space="0"/>
              <w:right w:val="single" w:color="auto" w:sz="4" w:space="0"/>
            </w:tcBorders>
            <w:noWrap w:val="0"/>
            <w:vAlign w:val="center"/>
          </w:tcPr>
          <w:p w14:paraId="3982F406">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579" w:type="pct"/>
            <w:tcBorders>
              <w:top w:val="nil"/>
              <w:left w:val="nil"/>
              <w:bottom w:val="single" w:color="auto" w:sz="4" w:space="0"/>
              <w:right w:val="single" w:color="auto" w:sz="4" w:space="0"/>
            </w:tcBorders>
            <w:noWrap w:val="0"/>
            <w:vAlign w:val="center"/>
          </w:tcPr>
          <w:p w14:paraId="22C63DEE">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基础数据信息和会计信息资料完整，准确</w:t>
            </w:r>
          </w:p>
        </w:tc>
        <w:tc>
          <w:tcPr>
            <w:tcW w:w="668" w:type="pct"/>
            <w:tcBorders>
              <w:top w:val="nil"/>
              <w:left w:val="nil"/>
              <w:bottom w:val="single" w:color="auto" w:sz="4" w:space="0"/>
              <w:right w:val="single" w:color="auto" w:sz="4" w:space="0"/>
            </w:tcBorders>
            <w:noWrap w:val="0"/>
            <w:vAlign w:val="center"/>
          </w:tcPr>
          <w:p w14:paraId="2A2DD6DD">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单位基础数据信息和会计信息资料完整，准确</w:t>
            </w:r>
            <w:r>
              <w:rPr>
                <w:rFonts w:hint="eastAsia" w:ascii="宋体" w:hAnsi="宋体" w:cs="宋体"/>
                <w:color w:val="000000"/>
                <w:kern w:val="0"/>
                <w:sz w:val="20"/>
                <w:szCs w:val="20"/>
              </w:rPr>
              <w:t>　</w:t>
            </w:r>
          </w:p>
        </w:tc>
        <w:tc>
          <w:tcPr>
            <w:tcW w:w="268" w:type="pct"/>
            <w:tcBorders>
              <w:top w:val="nil"/>
              <w:left w:val="nil"/>
              <w:bottom w:val="single" w:color="auto" w:sz="4" w:space="0"/>
              <w:right w:val="single" w:color="auto" w:sz="4" w:space="0"/>
            </w:tcBorders>
            <w:noWrap/>
            <w:vAlign w:val="center"/>
          </w:tcPr>
          <w:p w14:paraId="68D23290">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530" w:type="pct"/>
            <w:tcBorders>
              <w:top w:val="nil"/>
              <w:left w:val="nil"/>
              <w:bottom w:val="single" w:color="auto" w:sz="4" w:space="0"/>
              <w:right w:val="single" w:color="auto" w:sz="4" w:space="0"/>
            </w:tcBorders>
            <w:noWrap/>
            <w:vAlign w:val="center"/>
          </w:tcPr>
          <w:p w14:paraId="0707C3E2">
            <w:pPr>
              <w:widowControl/>
              <w:jc w:val="center"/>
              <w:rPr>
                <w:rFonts w:ascii="宋体" w:hAnsi="宋体" w:cs="宋体"/>
                <w:color w:val="000000"/>
                <w:kern w:val="0"/>
                <w:sz w:val="20"/>
                <w:szCs w:val="20"/>
              </w:rPr>
            </w:pPr>
            <w:r>
              <w:rPr>
                <w:rFonts w:hint="eastAsia" w:ascii="宋体" w:hAnsi="宋体" w:cs="宋体"/>
                <w:color w:val="000000"/>
                <w:kern w:val="0"/>
                <w:sz w:val="20"/>
                <w:szCs w:val="20"/>
              </w:rPr>
              <w:t>1　</w:t>
            </w:r>
          </w:p>
        </w:tc>
      </w:tr>
      <w:tr w14:paraId="1D89EC06">
        <w:tblPrEx>
          <w:tblCellMar>
            <w:top w:w="0" w:type="dxa"/>
            <w:left w:w="108" w:type="dxa"/>
            <w:bottom w:w="0" w:type="dxa"/>
            <w:right w:w="108" w:type="dxa"/>
          </w:tblCellMar>
        </w:tblPrEx>
        <w:trPr>
          <w:trHeight w:val="937" w:hRule="atLeast"/>
        </w:trPr>
        <w:tc>
          <w:tcPr>
            <w:tcW w:w="1118" w:type="pct"/>
            <w:vMerge w:val="continue"/>
            <w:tcBorders>
              <w:top w:val="nil"/>
              <w:left w:val="single" w:color="auto" w:sz="4" w:space="0"/>
              <w:bottom w:val="single" w:color="000000" w:sz="4" w:space="0"/>
              <w:right w:val="single" w:color="auto" w:sz="4" w:space="0"/>
            </w:tcBorders>
            <w:noWrap w:val="0"/>
            <w:vAlign w:val="center"/>
          </w:tcPr>
          <w:p w14:paraId="78F2505E">
            <w:pPr>
              <w:widowControl/>
              <w:jc w:val="left"/>
              <w:rPr>
                <w:rFonts w:ascii="宋体" w:hAnsi="宋体" w:cs="宋体"/>
                <w:color w:val="000000"/>
                <w:kern w:val="0"/>
                <w:sz w:val="20"/>
                <w:szCs w:val="20"/>
              </w:rPr>
            </w:pPr>
          </w:p>
        </w:tc>
        <w:tc>
          <w:tcPr>
            <w:tcW w:w="1030" w:type="pct"/>
            <w:tcBorders>
              <w:top w:val="single" w:color="auto" w:sz="4" w:space="0"/>
              <w:left w:val="single" w:color="auto" w:sz="4" w:space="0"/>
              <w:bottom w:val="single" w:color="auto" w:sz="4" w:space="0"/>
              <w:right w:val="single" w:color="auto" w:sz="4" w:space="0"/>
            </w:tcBorders>
            <w:noWrap w:val="0"/>
            <w:vAlign w:val="center"/>
          </w:tcPr>
          <w:p w14:paraId="1C973641">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资产管理（4）</w:t>
            </w:r>
          </w:p>
        </w:tc>
        <w:tc>
          <w:tcPr>
            <w:tcW w:w="804" w:type="pct"/>
            <w:tcBorders>
              <w:top w:val="single" w:color="auto" w:sz="4" w:space="0"/>
              <w:left w:val="single" w:color="auto" w:sz="4" w:space="0"/>
              <w:bottom w:val="single" w:color="auto" w:sz="4" w:space="0"/>
              <w:right w:val="single" w:color="auto" w:sz="4" w:space="0"/>
            </w:tcBorders>
            <w:noWrap w:val="0"/>
            <w:vAlign w:val="center"/>
          </w:tcPr>
          <w:p w14:paraId="5206CD14">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资产管理规范性</w:t>
            </w:r>
          </w:p>
        </w:tc>
        <w:tc>
          <w:tcPr>
            <w:tcW w:w="579" w:type="pct"/>
            <w:tcBorders>
              <w:top w:val="single" w:color="auto" w:sz="4" w:space="0"/>
              <w:left w:val="single" w:color="auto" w:sz="4" w:space="0"/>
              <w:bottom w:val="single" w:color="auto" w:sz="4" w:space="0"/>
              <w:right w:val="single" w:color="auto" w:sz="4" w:space="0"/>
            </w:tcBorders>
            <w:noWrap w:val="0"/>
            <w:vAlign w:val="center"/>
          </w:tcPr>
          <w:p w14:paraId="3383632D">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资产管理制度健全，执行规范</w:t>
            </w:r>
          </w:p>
        </w:tc>
        <w:tc>
          <w:tcPr>
            <w:tcW w:w="668" w:type="pct"/>
            <w:tcBorders>
              <w:top w:val="single" w:color="auto" w:sz="4" w:space="0"/>
              <w:left w:val="single" w:color="auto" w:sz="4" w:space="0"/>
              <w:bottom w:val="single" w:color="auto" w:sz="4" w:space="0"/>
              <w:right w:val="single" w:color="auto" w:sz="4" w:space="0"/>
            </w:tcBorders>
            <w:noWrap w:val="0"/>
            <w:vAlign w:val="center"/>
          </w:tcPr>
          <w:p w14:paraId="08412C5C">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资产管理制度健全，执行规范</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2147627A">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530" w:type="pct"/>
            <w:tcBorders>
              <w:top w:val="single" w:color="auto" w:sz="4" w:space="0"/>
              <w:left w:val="single" w:color="auto" w:sz="4" w:space="0"/>
              <w:bottom w:val="single" w:color="auto" w:sz="4" w:space="0"/>
              <w:right w:val="single" w:color="auto" w:sz="4" w:space="0"/>
            </w:tcBorders>
            <w:noWrap w:val="0"/>
            <w:vAlign w:val="center"/>
          </w:tcPr>
          <w:p w14:paraId="543C65C7">
            <w:pPr>
              <w:widowControl/>
              <w:jc w:val="center"/>
              <w:rPr>
                <w:rFonts w:ascii="宋体" w:hAnsi="宋体" w:cs="宋体"/>
                <w:color w:val="000000"/>
                <w:kern w:val="0"/>
                <w:sz w:val="20"/>
                <w:szCs w:val="20"/>
              </w:rPr>
            </w:pPr>
            <w:r>
              <w:rPr>
                <w:rFonts w:hint="eastAsia" w:ascii="宋体" w:hAnsi="宋体" w:cs="宋体"/>
                <w:color w:val="000000"/>
                <w:kern w:val="0"/>
                <w:sz w:val="20"/>
                <w:szCs w:val="20"/>
              </w:rPr>
              <w:t>4　</w:t>
            </w:r>
          </w:p>
        </w:tc>
      </w:tr>
      <w:tr w14:paraId="61D7E2D5">
        <w:tblPrEx>
          <w:tblCellMar>
            <w:top w:w="0" w:type="dxa"/>
            <w:left w:w="108" w:type="dxa"/>
            <w:bottom w:w="0" w:type="dxa"/>
            <w:right w:w="108" w:type="dxa"/>
          </w:tblCellMar>
        </w:tblPrEx>
        <w:trPr>
          <w:trHeight w:val="1586" w:hRule="atLeast"/>
        </w:trPr>
        <w:tc>
          <w:tcPr>
            <w:tcW w:w="1118" w:type="pct"/>
            <w:vMerge w:val="continue"/>
            <w:tcBorders>
              <w:top w:val="nil"/>
              <w:left w:val="single" w:color="auto" w:sz="4" w:space="0"/>
              <w:bottom w:val="single" w:color="000000" w:sz="4" w:space="0"/>
              <w:right w:val="single" w:color="auto" w:sz="4" w:space="0"/>
            </w:tcBorders>
            <w:noWrap w:val="0"/>
            <w:vAlign w:val="center"/>
          </w:tcPr>
          <w:p w14:paraId="10103627">
            <w:pPr>
              <w:widowControl/>
              <w:jc w:val="left"/>
              <w:rPr>
                <w:rFonts w:ascii="宋体" w:hAnsi="宋体" w:cs="宋体"/>
                <w:color w:val="000000"/>
                <w:kern w:val="0"/>
                <w:sz w:val="20"/>
                <w:szCs w:val="20"/>
              </w:rPr>
            </w:pPr>
          </w:p>
        </w:tc>
        <w:tc>
          <w:tcPr>
            <w:tcW w:w="1030" w:type="pct"/>
            <w:tcBorders>
              <w:top w:val="single" w:color="auto" w:sz="4" w:space="0"/>
              <w:left w:val="nil"/>
              <w:bottom w:val="single" w:color="auto" w:sz="4" w:space="0"/>
              <w:right w:val="single" w:color="auto" w:sz="4" w:space="0"/>
            </w:tcBorders>
            <w:noWrap w:val="0"/>
            <w:vAlign w:val="center"/>
          </w:tcPr>
          <w:p w14:paraId="497A6E8B">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绩效管理（4）</w:t>
            </w:r>
          </w:p>
        </w:tc>
        <w:tc>
          <w:tcPr>
            <w:tcW w:w="804" w:type="pct"/>
            <w:tcBorders>
              <w:top w:val="single" w:color="auto" w:sz="4" w:space="0"/>
              <w:left w:val="nil"/>
              <w:bottom w:val="single" w:color="auto" w:sz="4" w:space="0"/>
              <w:right w:val="single" w:color="auto" w:sz="4" w:space="0"/>
            </w:tcBorders>
            <w:noWrap w:val="0"/>
            <w:vAlign w:val="center"/>
          </w:tcPr>
          <w:p w14:paraId="33256BCF">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绩效管理情况</w:t>
            </w:r>
          </w:p>
        </w:tc>
        <w:tc>
          <w:tcPr>
            <w:tcW w:w="579" w:type="pct"/>
            <w:tcBorders>
              <w:top w:val="single" w:color="auto" w:sz="4" w:space="0"/>
              <w:left w:val="nil"/>
              <w:bottom w:val="single" w:color="auto" w:sz="4" w:space="0"/>
              <w:right w:val="single" w:color="auto" w:sz="4" w:space="0"/>
            </w:tcBorders>
            <w:noWrap w:val="0"/>
            <w:vAlign w:val="center"/>
          </w:tcPr>
          <w:p w14:paraId="33BC0F84">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对绩效信息进行汇总分析整理，对绩效目标偏差情况及时进行纠正</w:t>
            </w:r>
          </w:p>
        </w:tc>
        <w:tc>
          <w:tcPr>
            <w:tcW w:w="668" w:type="pct"/>
            <w:tcBorders>
              <w:top w:val="single" w:color="auto" w:sz="4" w:space="0"/>
              <w:left w:val="nil"/>
              <w:bottom w:val="single" w:color="auto" w:sz="4" w:space="0"/>
              <w:right w:val="single" w:color="auto" w:sz="4" w:space="0"/>
            </w:tcBorders>
            <w:noWrap w:val="0"/>
            <w:vAlign w:val="center"/>
          </w:tcPr>
          <w:p w14:paraId="09402CBE">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及时对绩效信息进行汇总分析整理，对绩效目标偏离情况及时进行纠正</w:t>
            </w:r>
          </w:p>
        </w:tc>
        <w:tc>
          <w:tcPr>
            <w:tcW w:w="268" w:type="pct"/>
            <w:tcBorders>
              <w:top w:val="single" w:color="auto" w:sz="4" w:space="0"/>
              <w:left w:val="nil"/>
              <w:bottom w:val="single" w:color="auto" w:sz="4" w:space="0"/>
              <w:right w:val="single" w:color="auto" w:sz="4" w:space="0"/>
            </w:tcBorders>
            <w:noWrap w:val="0"/>
            <w:vAlign w:val="center"/>
          </w:tcPr>
          <w:p w14:paraId="763FC19F">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530" w:type="pct"/>
            <w:tcBorders>
              <w:top w:val="single" w:color="auto" w:sz="4" w:space="0"/>
              <w:left w:val="nil"/>
              <w:bottom w:val="single" w:color="auto" w:sz="4" w:space="0"/>
              <w:right w:val="single" w:color="auto" w:sz="4" w:space="0"/>
            </w:tcBorders>
            <w:noWrap w:val="0"/>
            <w:vAlign w:val="center"/>
          </w:tcPr>
          <w:p w14:paraId="62550A51">
            <w:pPr>
              <w:widowControl/>
              <w:jc w:val="center"/>
              <w:rPr>
                <w:rFonts w:ascii="宋体" w:hAnsi="宋体" w:cs="宋体"/>
                <w:color w:val="000000"/>
                <w:kern w:val="0"/>
                <w:sz w:val="20"/>
                <w:szCs w:val="20"/>
              </w:rPr>
            </w:pPr>
            <w:r>
              <w:rPr>
                <w:rFonts w:hint="eastAsia" w:ascii="宋体" w:hAnsi="宋体" w:cs="宋体"/>
                <w:color w:val="000000"/>
                <w:kern w:val="0"/>
                <w:sz w:val="20"/>
                <w:szCs w:val="20"/>
              </w:rPr>
              <w:t>4　</w:t>
            </w:r>
          </w:p>
        </w:tc>
      </w:tr>
      <w:tr w14:paraId="46DA018E">
        <w:tblPrEx>
          <w:tblCellMar>
            <w:top w:w="0" w:type="dxa"/>
            <w:left w:w="108" w:type="dxa"/>
            <w:bottom w:w="0" w:type="dxa"/>
            <w:right w:w="108" w:type="dxa"/>
          </w:tblCellMar>
        </w:tblPrEx>
        <w:trPr>
          <w:trHeight w:val="394" w:hRule="atLeast"/>
        </w:trPr>
        <w:tc>
          <w:tcPr>
            <w:tcW w:w="1118" w:type="pct"/>
            <w:vMerge w:val="continue"/>
            <w:tcBorders>
              <w:top w:val="nil"/>
              <w:left w:val="single" w:color="auto" w:sz="4" w:space="0"/>
              <w:bottom w:val="single" w:color="000000" w:sz="4" w:space="0"/>
              <w:right w:val="single" w:color="auto" w:sz="4" w:space="0"/>
            </w:tcBorders>
            <w:noWrap w:val="0"/>
            <w:vAlign w:val="center"/>
          </w:tcPr>
          <w:p w14:paraId="67C0E855">
            <w:pPr>
              <w:widowControl/>
              <w:jc w:val="left"/>
              <w:rPr>
                <w:rFonts w:ascii="宋体" w:hAnsi="宋体" w:cs="宋体"/>
                <w:color w:val="000000"/>
                <w:kern w:val="0"/>
                <w:sz w:val="20"/>
                <w:szCs w:val="20"/>
              </w:rPr>
            </w:pPr>
          </w:p>
        </w:tc>
        <w:tc>
          <w:tcPr>
            <w:tcW w:w="1030" w:type="pct"/>
            <w:tcBorders>
              <w:top w:val="single" w:color="auto" w:sz="4" w:space="0"/>
              <w:left w:val="nil"/>
              <w:bottom w:val="single" w:color="auto" w:sz="4" w:space="0"/>
              <w:right w:val="single" w:color="auto" w:sz="4" w:space="0"/>
            </w:tcBorders>
            <w:noWrap w:val="0"/>
            <w:vAlign w:val="center"/>
          </w:tcPr>
          <w:p w14:paraId="634AE2C6">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　</w:t>
            </w:r>
          </w:p>
        </w:tc>
        <w:tc>
          <w:tcPr>
            <w:tcW w:w="804" w:type="pct"/>
            <w:tcBorders>
              <w:top w:val="single" w:color="auto" w:sz="4" w:space="0"/>
              <w:left w:val="nil"/>
              <w:bottom w:val="single" w:color="auto" w:sz="4" w:space="0"/>
              <w:right w:val="single" w:color="000000" w:sz="4" w:space="0"/>
            </w:tcBorders>
            <w:noWrap w:val="0"/>
            <w:vAlign w:val="center"/>
          </w:tcPr>
          <w:p w14:paraId="2B88593E">
            <w:pPr>
              <w:widowControl/>
              <w:jc w:val="center"/>
              <w:rPr>
                <w:rFonts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4</w:t>
            </w:r>
            <w:r>
              <w:rPr>
                <w:rFonts w:hint="eastAsia" w:ascii="宋体" w:hAnsi="宋体" w:cs="宋体"/>
                <w:color w:val="000000"/>
                <w:kern w:val="0"/>
                <w:sz w:val="20"/>
                <w:szCs w:val="20"/>
              </w:rPr>
              <w:t>年</w:t>
            </w:r>
          </w:p>
        </w:tc>
        <w:tc>
          <w:tcPr>
            <w:tcW w:w="1247" w:type="pct"/>
            <w:gridSpan w:val="2"/>
            <w:tcBorders>
              <w:top w:val="single" w:color="auto" w:sz="4" w:space="0"/>
              <w:left w:val="nil"/>
              <w:bottom w:val="single" w:color="auto" w:sz="4" w:space="0"/>
              <w:right w:val="single" w:color="auto" w:sz="4" w:space="0"/>
            </w:tcBorders>
            <w:noWrap w:val="0"/>
            <w:vAlign w:val="center"/>
          </w:tcPr>
          <w:p w14:paraId="6162153A">
            <w:pPr>
              <w:widowControl/>
              <w:jc w:val="center"/>
              <w:rPr>
                <w:rFonts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年</w:t>
            </w:r>
          </w:p>
        </w:tc>
        <w:tc>
          <w:tcPr>
            <w:tcW w:w="268" w:type="pct"/>
            <w:tcBorders>
              <w:top w:val="single" w:color="auto" w:sz="4" w:space="0"/>
              <w:left w:val="nil"/>
              <w:bottom w:val="single" w:color="auto" w:sz="4" w:space="0"/>
              <w:right w:val="single" w:color="auto" w:sz="4" w:space="0"/>
            </w:tcBorders>
            <w:noWrap w:val="0"/>
            <w:vAlign w:val="center"/>
          </w:tcPr>
          <w:p w14:paraId="6ECE1A3E">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530" w:type="pct"/>
            <w:tcBorders>
              <w:top w:val="single" w:color="auto" w:sz="4" w:space="0"/>
              <w:left w:val="nil"/>
              <w:bottom w:val="single" w:color="auto" w:sz="4" w:space="0"/>
              <w:right w:val="single" w:color="auto" w:sz="4" w:space="0"/>
            </w:tcBorders>
            <w:noWrap w:val="0"/>
            <w:vAlign w:val="center"/>
          </w:tcPr>
          <w:p w14:paraId="5C53886B">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5F8892CF">
        <w:tblPrEx>
          <w:tblCellMar>
            <w:top w:w="0" w:type="dxa"/>
            <w:left w:w="108" w:type="dxa"/>
            <w:bottom w:w="0" w:type="dxa"/>
            <w:right w:w="108" w:type="dxa"/>
          </w:tblCellMar>
        </w:tblPrEx>
        <w:trPr>
          <w:trHeight w:val="438" w:hRule="atLeast"/>
        </w:trPr>
        <w:tc>
          <w:tcPr>
            <w:tcW w:w="1118" w:type="pct"/>
            <w:vMerge w:val="continue"/>
            <w:tcBorders>
              <w:top w:val="nil"/>
              <w:left w:val="single" w:color="auto" w:sz="4" w:space="0"/>
              <w:bottom w:val="single" w:color="000000" w:sz="4" w:space="0"/>
              <w:right w:val="single" w:color="auto" w:sz="4" w:space="0"/>
            </w:tcBorders>
            <w:noWrap w:val="0"/>
            <w:vAlign w:val="center"/>
          </w:tcPr>
          <w:p w14:paraId="6A30C532">
            <w:pPr>
              <w:widowControl/>
              <w:jc w:val="left"/>
              <w:rPr>
                <w:rFonts w:ascii="宋体" w:hAnsi="宋体" w:cs="宋体"/>
                <w:color w:val="000000"/>
                <w:kern w:val="0"/>
                <w:sz w:val="20"/>
                <w:szCs w:val="20"/>
              </w:rPr>
            </w:pPr>
          </w:p>
        </w:tc>
        <w:tc>
          <w:tcPr>
            <w:tcW w:w="1030" w:type="pct"/>
            <w:tcBorders>
              <w:top w:val="nil"/>
              <w:left w:val="nil"/>
              <w:bottom w:val="single" w:color="auto" w:sz="4" w:space="0"/>
              <w:right w:val="single" w:color="auto" w:sz="4" w:space="0"/>
            </w:tcBorders>
            <w:noWrap w:val="0"/>
            <w:vAlign w:val="center"/>
          </w:tcPr>
          <w:p w14:paraId="69BE4A1C">
            <w:pPr>
              <w:widowControl/>
              <w:rPr>
                <w:rFonts w:ascii="宋体" w:hAnsi="宋体" w:cs="宋体"/>
                <w:color w:val="000000"/>
                <w:kern w:val="0"/>
                <w:sz w:val="20"/>
                <w:szCs w:val="20"/>
              </w:rPr>
            </w:pPr>
            <w:r>
              <w:rPr>
                <w:rFonts w:hint="eastAsia" w:ascii="宋体" w:hAnsi="宋体" w:cs="宋体"/>
                <w:color w:val="000000"/>
                <w:kern w:val="0"/>
                <w:sz w:val="20"/>
                <w:szCs w:val="20"/>
              </w:rPr>
              <w:t>结转结余率（4）</w:t>
            </w:r>
          </w:p>
        </w:tc>
        <w:tc>
          <w:tcPr>
            <w:tcW w:w="804" w:type="pct"/>
            <w:tcBorders>
              <w:top w:val="single" w:color="auto" w:sz="4" w:space="0"/>
              <w:left w:val="nil"/>
              <w:bottom w:val="single" w:color="auto" w:sz="4" w:space="0"/>
              <w:right w:val="single" w:color="000000" w:sz="4" w:space="0"/>
            </w:tcBorders>
            <w:noWrap w:val="0"/>
            <w:vAlign w:val="center"/>
          </w:tcPr>
          <w:p w14:paraId="359B3F59">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3%</w:t>
            </w:r>
          </w:p>
        </w:tc>
        <w:tc>
          <w:tcPr>
            <w:tcW w:w="1247" w:type="pct"/>
            <w:gridSpan w:val="2"/>
            <w:tcBorders>
              <w:top w:val="nil"/>
              <w:left w:val="nil"/>
              <w:bottom w:val="single" w:color="auto" w:sz="4" w:space="0"/>
              <w:right w:val="single" w:color="auto" w:sz="4" w:space="0"/>
            </w:tcBorders>
            <w:noWrap w:val="0"/>
            <w:vAlign w:val="center"/>
          </w:tcPr>
          <w:p w14:paraId="5C301EDB">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9%</w:t>
            </w:r>
            <w:r>
              <w:rPr>
                <w:rFonts w:hint="eastAsia" w:ascii="宋体" w:hAnsi="宋体" w:cs="宋体"/>
                <w:color w:val="000000"/>
                <w:kern w:val="0"/>
                <w:sz w:val="20"/>
                <w:szCs w:val="20"/>
              </w:rPr>
              <w:t>　</w:t>
            </w:r>
          </w:p>
        </w:tc>
        <w:tc>
          <w:tcPr>
            <w:tcW w:w="268" w:type="pct"/>
            <w:tcBorders>
              <w:top w:val="nil"/>
              <w:left w:val="nil"/>
              <w:bottom w:val="single" w:color="auto" w:sz="4" w:space="0"/>
              <w:right w:val="single" w:color="auto" w:sz="4" w:space="0"/>
            </w:tcBorders>
            <w:noWrap w:val="0"/>
            <w:vAlign w:val="center"/>
          </w:tcPr>
          <w:p w14:paraId="25A564D0">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530" w:type="pct"/>
            <w:tcBorders>
              <w:top w:val="nil"/>
              <w:left w:val="nil"/>
              <w:bottom w:val="single" w:color="auto" w:sz="4" w:space="0"/>
              <w:right w:val="single" w:color="auto" w:sz="4" w:space="0"/>
            </w:tcBorders>
            <w:noWrap w:val="0"/>
            <w:vAlign w:val="center"/>
          </w:tcPr>
          <w:p w14:paraId="5E170C2A">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4</w:t>
            </w:r>
          </w:p>
        </w:tc>
      </w:tr>
      <w:tr w14:paraId="25381FF6">
        <w:tblPrEx>
          <w:tblCellMar>
            <w:top w:w="0" w:type="dxa"/>
            <w:left w:w="108" w:type="dxa"/>
            <w:bottom w:w="0" w:type="dxa"/>
            <w:right w:w="108" w:type="dxa"/>
          </w:tblCellMar>
        </w:tblPrEx>
        <w:trPr>
          <w:trHeight w:val="489" w:hRule="atLeast"/>
        </w:trPr>
        <w:tc>
          <w:tcPr>
            <w:tcW w:w="1118" w:type="pct"/>
            <w:vMerge w:val="continue"/>
            <w:tcBorders>
              <w:top w:val="nil"/>
              <w:left w:val="single" w:color="auto" w:sz="4" w:space="0"/>
              <w:bottom w:val="single" w:color="000000" w:sz="4" w:space="0"/>
              <w:right w:val="single" w:color="auto" w:sz="4" w:space="0"/>
            </w:tcBorders>
            <w:noWrap w:val="0"/>
            <w:vAlign w:val="center"/>
          </w:tcPr>
          <w:p w14:paraId="66E086B5">
            <w:pPr>
              <w:widowControl/>
              <w:jc w:val="left"/>
              <w:rPr>
                <w:rFonts w:ascii="宋体" w:hAnsi="宋体" w:cs="宋体"/>
                <w:color w:val="000000"/>
                <w:kern w:val="0"/>
                <w:sz w:val="20"/>
                <w:szCs w:val="20"/>
              </w:rPr>
            </w:pPr>
          </w:p>
        </w:tc>
        <w:tc>
          <w:tcPr>
            <w:tcW w:w="1030" w:type="pct"/>
            <w:tcBorders>
              <w:top w:val="nil"/>
              <w:left w:val="nil"/>
              <w:bottom w:val="single" w:color="auto" w:sz="4" w:space="0"/>
              <w:right w:val="single" w:color="auto" w:sz="4" w:space="0"/>
            </w:tcBorders>
            <w:noWrap w:val="0"/>
            <w:vAlign w:val="center"/>
          </w:tcPr>
          <w:p w14:paraId="7C82CA32">
            <w:pPr>
              <w:widowControl/>
              <w:rPr>
                <w:rFonts w:ascii="宋体" w:hAnsi="宋体" w:cs="宋体"/>
                <w:color w:val="000000"/>
                <w:kern w:val="0"/>
                <w:sz w:val="20"/>
                <w:szCs w:val="20"/>
              </w:rPr>
            </w:pPr>
            <w:r>
              <w:rPr>
                <w:rFonts w:hint="eastAsia" w:ascii="宋体" w:hAnsi="宋体" w:cs="宋体"/>
                <w:color w:val="000000"/>
                <w:kern w:val="0"/>
                <w:sz w:val="20"/>
                <w:szCs w:val="20"/>
              </w:rPr>
              <w:t>单位预决算差异率（4）</w:t>
            </w:r>
          </w:p>
        </w:tc>
        <w:tc>
          <w:tcPr>
            <w:tcW w:w="804" w:type="pct"/>
            <w:tcBorders>
              <w:top w:val="single" w:color="auto" w:sz="4" w:space="0"/>
              <w:left w:val="nil"/>
              <w:bottom w:val="single" w:color="auto" w:sz="4" w:space="0"/>
              <w:right w:val="nil"/>
            </w:tcBorders>
            <w:noWrap w:val="0"/>
            <w:vAlign w:val="center"/>
          </w:tcPr>
          <w:p w14:paraId="3D31F3DE">
            <w:pPr>
              <w:widowControl/>
              <w:jc w:val="center"/>
              <w:rPr>
                <w:rFonts w:ascii="宋体" w:hAnsi="宋体" w:cs="宋体"/>
                <w:color w:val="000000"/>
                <w:kern w:val="0"/>
                <w:sz w:val="20"/>
                <w:szCs w:val="20"/>
              </w:rPr>
            </w:pPr>
            <w:r>
              <w:rPr>
                <w:rFonts w:hint="eastAsia" w:ascii="宋体" w:hAnsi="宋体" w:cs="宋体"/>
                <w:color w:val="000000"/>
                <w:kern w:val="0"/>
                <w:sz w:val="20"/>
                <w:szCs w:val="20"/>
              </w:rPr>
              <w:t>28%</w:t>
            </w:r>
          </w:p>
        </w:tc>
        <w:tc>
          <w:tcPr>
            <w:tcW w:w="1247" w:type="pct"/>
            <w:gridSpan w:val="2"/>
            <w:tcBorders>
              <w:top w:val="nil"/>
              <w:left w:val="single" w:color="auto" w:sz="4" w:space="0"/>
              <w:bottom w:val="single" w:color="auto" w:sz="4" w:space="0"/>
              <w:right w:val="single" w:color="auto" w:sz="4" w:space="0"/>
            </w:tcBorders>
            <w:noWrap w:val="0"/>
            <w:vAlign w:val="center"/>
          </w:tcPr>
          <w:p w14:paraId="44DC6120">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rPr>
              <w:t>13%</w:t>
            </w:r>
          </w:p>
        </w:tc>
        <w:tc>
          <w:tcPr>
            <w:tcW w:w="268" w:type="pct"/>
            <w:tcBorders>
              <w:top w:val="nil"/>
              <w:left w:val="nil"/>
              <w:bottom w:val="single" w:color="auto" w:sz="4" w:space="0"/>
              <w:right w:val="single" w:color="auto" w:sz="4" w:space="0"/>
            </w:tcBorders>
            <w:noWrap w:val="0"/>
            <w:vAlign w:val="center"/>
          </w:tcPr>
          <w:p w14:paraId="108BBBD3">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530" w:type="pct"/>
            <w:tcBorders>
              <w:top w:val="nil"/>
              <w:left w:val="nil"/>
              <w:bottom w:val="single" w:color="auto" w:sz="4" w:space="0"/>
              <w:right w:val="single" w:color="auto" w:sz="4" w:space="0"/>
            </w:tcBorders>
            <w:noWrap w:val="0"/>
            <w:vAlign w:val="center"/>
          </w:tcPr>
          <w:p w14:paraId="3BD79B17">
            <w:pPr>
              <w:widowControl/>
              <w:jc w:val="center"/>
              <w:rPr>
                <w:rFonts w:ascii="宋体" w:hAnsi="宋体" w:cs="宋体"/>
                <w:color w:val="000000"/>
                <w:kern w:val="0"/>
                <w:sz w:val="20"/>
                <w:szCs w:val="20"/>
              </w:rPr>
            </w:pPr>
            <w:r>
              <w:rPr>
                <w:rFonts w:hint="eastAsia" w:ascii="宋体" w:hAnsi="宋体" w:cs="宋体"/>
                <w:color w:val="000000"/>
                <w:kern w:val="0"/>
                <w:sz w:val="20"/>
                <w:szCs w:val="20"/>
              </w:rPr>
              <w:t>　4</w:t>
            </w:r>
          </w:p>
        </w:tc>
      </w:tr>
      <w:tr w14:paraId="4D4623A0">
        <w:tblPrEx>
          <w:tblCellMar>
            <w:top w:w="0" w:type="dxa"/>
            <w:left w:w="108" w:type="dxa"/>
            <w:bottom w:w="0" w:type="dxa"/>
            <w:right w:w="108" w:type="dxa"/>
          </w:tblCellMar>
        </w:tblPrEx>
        <w:trPr>
          <w:trHeight w:val="404" w:hRule="atLeast"/>
        </w:trPr>
        <w:tc>
          <w:tcPr>
            <w:tcW w:w="1118" w:type="pct"/>
            <w:tcBorders>
              <w:top w:val="single" w:color="auto" w:sz="4" w:space="0"/>
              <w:left w:val="single" w:color="auto" w:sz="4" w:space="0"/>
              <w:bottom w:val="single" w:color="auto" w:sz="4" w:space="0"/>
              <w:right w:val="single" w:color="auto" w:sz="4" w:space="0"/>
            </w:tcBorders>
            <w:noWrap w:val="0"/>
            <w:vAlign w:val="center"/>
          </w:tcPr>
          <w:p w14:paraId="0C16DF87">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3082" w:type="pct"/>
            <w:gridSpan w:val="4"/>
            <w:tcBorders>
              <w:top w:val="nil"/>
              <w:left w:val="nil"/>
              <w:bottom w:val="single" w:color="auto" w:sz="4" w:space="0"/>
              <w:right w:val="single" w:color="auto" w:sz="4" w:space="0"/>
            </w:tcBorders>
            <w:noWrap w:val="0"/>
            <w:vAlign w:val="center"/>
          </w:tcPr>
          <w:p w14:paraId="3D8C4869">
            <w:pPr>
              <w:widowControl/>
              <w:jc w:val="center"/>
              <w:rPr>
                <w:rFonts w:ascii="宋体" w:hAnsi="宋体" w:cs="宋体"/>
                <w:color w:val="000000"/>
                <w:kern w:val="0"/>
                <w:sz w:val="20"/>
                <w:szCs w:val="20"/>
              </w:rPr>
            </w:pPr>
          </w:p>
        </w:tc>
        <w:tc>
          <w:tcPr>
            <w:tcW w:w="268" w:type="pct"/>
            <w:tcBorders>
              <w:top w:val="nil"/>
              <w:left w:val="nil"/>
              <w:bottom w:val="single" w:color="auto" w:sz="4" w:space="0"/>
              <w:right w:val="nil"/>
            </w:tcBorders>
            <w:noWrap w:val="0"/>
            <w:vAlign w:val="center"/>
          </w:tcPr>
          <w:p w14:paraId="2EFFBE7C">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100</w:t>
            </w:r>
          </w:p>
        </w:tc>
        <w:tc>
          <w:tcPr>
            <w:tcW w:w="530" w:type="pct"/>
            <w:tcBorders>
              <w:top w:val="single" w:color="auto" w:sz="4" w:space="0"/>
              <w:left w:val="single" w:color="auto" w:sz="4" w:space="0"/>
              <w:bottom w:val="single" w:color="auto" w:sz="4" w:space="0"/>
              <w:right w:val="single" w:color="auto" w:sz="4" w:space="0"/>
            </w:tcBorders>
            <w:noWrap w:val="0"/>
            <w:vAlign w:val="center"/>
          </w:tcPr>
          <w:p w14:paraId="65B4A4BA">
            <w:pPr>
              <w:widowControl/>
              <w:jc w:val="center"/>
              <w:rPr>
                <w:rFonts w:ascii="宋体" w:hAnsi="宋体" w:cs="宋体"/>
                <w:color w:val="000000"/>
                <w:kern w:val="0"/>
                <w:sz w:val="18"/>
                <w:szCs w:val="18"/>
              </w:rPr>
            </w:pPr>
            <w:r>
              <w:rPr>
                <w:rFonts w:hint="eastAsia" w:ascii="宋体" w:hAnsi="宋体" w:cs="宋体"/>
                <w:color w:val="000000"/>
                <w:kern w:val="0"/>
                <w:sz w:val="20"/>
                <w:szCs w:val="20"/>
                <w:lang w:val="en-US" w:eastAsia="zh-CN"/>
              </w:rPr>
              <w:t>94.4</w:t>
            </w:r>
            <w:r>
              <w:rPr>
                <w:rFonts w:hint="eastAsia" w:ascii="宋体" w:hAnsi="宋体" w:cs="宋体"/>
                <w:color w:val="000000"/>
                <w:kern w:val="0"/>
                <w:sz w:val="18"/>
                <w:szCs w:val="18"/>
              </w:rPr>
              <w:t>　</w:t>
            </w:r>
          </w:p>
        </w:tc>
      </w:tr>
    </w:tbl>
    <w:p w14:paraId="464A7B6C"/>
    <w:p w14:paraId="513A985C"/>
    <w:p w14:paraId="49BB40D8"/>
    <w:sectPr>
      <w:pgSz w:w="16838" w:h="11906" w:orient="landscape"/>
      <w:pgMar w:top="1800" w:right="2798"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12"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06F6F">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016D03">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D016D03">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14:paraId="5EB78E06">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7A98D1"/>
    <w:multiLevelType w:val="singleLevel"/>
    <w:tmpl w:val="3C7A98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4MGQxZWU2YzEyZTBjNmQxMzE5Zjc4ZTZkNTBjYjcifQ=="/>
  </w:docVars>
  <w:rsids>
    <w:rsidRoot w:val="F77F09F4"/>
    <w:rsid w:val="001756C5"/>
    <w:rsid w:val="00277A0D"/>
    <w:rsid w:val="003055CF"/>
    <w:rsid w:val="00354279"/>
    <w:rsid w:val="00370A25"/>
    <w:rsid w:val="00421B63"/>
    <w:rsid w:val="00462844"/>
    <w:rsid w:val="00786D11"/>
    <w:rsid w:val="007B236B"/>
    <w:rsid w:val="007B5F3F"/>
    <w:rsid w:val="007B79A7"/>
    <w:rsid w:val="007C75E7"/>
    <w:rsid w:val="00846033"/>
    <w:rsid w:val="00850A30"/>
    <w:rsid w:val="008C030E"/>
    <w:rsid w:val="00B12B20"/>
    <w:rsid w:val="00BC63EA"/>
    <w:rsid w:val="00C42928"/>
    <w:rsid w:val="00C743FB"/>
    <w:rsid w:val="00D42B17"/>
    <w:rsid w:val="00D84652"/>
    <w:rsid w:val="00D871BF"/>
    <w:rsid w:val="00EA2E0C"/>
    <w:rsid w:val="00F74FA5"/>
    <w:rsid w:val="07C733D5"/>
    <w:rsid w:val="08CD58EF"/>
    <w:rsid w:val="096E162E"/>
    <w:rsid w:val="0BC8771C"/>
    <w:rsid w:val="0D674D12"/>
    <w:rsid w:val="0E927B6D"/>
    <w:rsid w:val="0ECF9C51"/>
    <w:rsid w:val="0F6874BD"/>
    <w:rsid w:val="113F2D53"/>
    <w:rsid w:val="1BAA77B9"/>
    <w:rsid w:val="1C142509"/>
    <w:rsid w:val="1D5A03F0"/>
    <w:rsid w:val="1D7522E4"/>
    <w:rsid w:val="24AB32DF"/>
    <w:rsid w:val="286411A0"/>
    <w:rsid w:val="2C0F23A5"/>
    <w:rsid w:val="31E05861"/>
    <w:rsid w:val="334D3CD7"/>
    <w:rsid w:val="36F948DF"/>
    <w:rsid w:val="37173543"/>
    <w:rsid w:val="3D395516"/>
    <w:rsid w:val="3E3143FD"/>
    <w:rsid w:val="3F875848"/>
    <w:rsid w:val="3FDF3D66"/>
    <w:rsid w:val="3FF76880"/>
    <w:rsid w:val="432B7377"/>
    <w:rsid w:val="45772A5A"/>
    <w:rsid w:val="4E127DA7"/>
    <w:rsid w:val="50F6750C"/>
    <w:rsid w:val="52962F3D"/>
    <w:rsid w:val="54D71B77"/>
    <w:rsid w:val="55052414"/>
    <w:rsid w:val="56C01344"/>
    <w:rsid w:val="5A2020F4"/>
    <w:rsid w:val="5A851901"/>
    <w:rsid w:val="5C043425"/>
    <w:rsid w:val="5EF86B45"/>
    <w:rsid w:val="60194FC5"/>
    <w:rsid w:val="612260FC"/>
    <w:rsid w:val="62B337E3"/>
    <w:rsid w:val="62D93AFC"/>
    <w:rsid w:val="66AF0431"/>
    <w:rsid w:val="6F2E481F"/>
    <w:rsid w:val="700E33A6"/>
    <w:rsid w:val="725039DB"/>
    <w:rsid w:val="74082F2F"/>
    <w:rsid w:val="753C7334"/>
    <w:rsid w:val="754B5348"/>
    <w:rsid w:val="78E73A5B"/>
    <w:rsid w:val="7AB7FF50"/>
    <w:rsid w:val="7BFEB0DB"/>
    <w:rsid w:val="7EEA390B"/>
    <w:rsid w:val="7F370B6C"/>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page number"/>
    <w:basedOn w:val="6"/>
    <w:qFormat/>
    <w:uiPriority w:val="0"/>
  </w:style>
  <w:style w:type="paragraph" w:customStyle="1" w:styleId="8">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2360</Words>
  <Characters>2616</Characters>
  <Lines>35</Lines>
  <Paragraphs>9</Paragraphs>
  <TotalTime>1</TotalTime>
  <ScaleCrop>false</ScaleCrop>
  <LinksUpToDate>false</LinksUpToDate>
  <CharactersWithSpaces>2717</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yp</cp:lastModifiedBy>
  <cp:lastPrinted>2025-08-22T06:27:00Z</cp:lastPrinted>
  <dcterms:modified xsi:type="dcterms:W3CDTF">2025-09-08T03:06:57Z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CFD0A959F9AB4DED8F08985A092826DE_13</vt:lpwstr>
  </property>
  <property fmtid="{D5CDD505-2E9C-101B-9397-08002B2CF9AE}" pid="4" name="KSOTemplateDocerSaveRecord">
    <vt:lpwstr>eyJoZGlkIjoiZmY4MGQxZWU2YzEyZTBjNmQxMzE5Zjc4ZTZkNTBjYjciLCJ1c2VySWQiOiIyNDU0NzI1OTIifQ==</vt:lpwstr>
  </property>
</Properties>
</file>